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24" w:rsidRDefault="00AA462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DA5651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 xml:space="preserve">Антикоррупционный запрет </w:t>
      </w:r>
    </w:p>
    <w:p w:rsidR="00AA4624" w:rsidRDefault="00DA5651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на получение отдельными категориями лиц подарков и иных</w:t>
      </w:r>
    </w:p>
    <w:p w:rsidR="00AA4624" w:rsidRDefault="00DA5651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вознаграждений в связи с выполнением служебных</w:t>
      </w:r>
    </w:p>
    <w:p w:rsidR="00AA4624" w:rsidRDefault="00DA5651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56"/>
          <w:szCs w:val="56"/>
        </w:rPr>
        <w:t>(должностных) обязанносте</w:t>
      </w:r>
      <w:r>
        <w:rPr>
          <w:rFonts w:ascii="PT Astra Serif" w:hAnsi="PT Astra Serif" w:cs="Times New Roman,Bold"/>
          <w:b/>
          <w:bCs/>
          <w:color w:val="000000"/>
          <w:sz w:val="52"/>
          <w:szCs w:val="52"/>
        </w:rPr>
        <w:t>й</w:t>
      </w: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right="227" w:firstLine="680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A4624" w:rsidRDefault="00DA5651">
      <w:pPr>
        <w:spacing w:after="0" w:line="240" w:lineRule="auto"/>
        <w:jc w:val="center"/>
      </w:pPr>
      <w:r>
        <w:rPr>
          <w:rFonts w:ascii="PT Astra Serif" w:hAnsi="PT Astra Serif" w:cs="Times New Roman,Bold"/>
          <w:b/>
          <w:bCs/>
          <w:color w:val="000000"/>
          <w:sz w:val="28"/>
          <w:szCs w:val="28"/>
        </w:rPr>
        <w:t>ПАМЯТКА</w:t>
      </w: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4624" w:rsidRDefault="00DA5651">
      <w:pPr>
        <w:spacing w:after="0" w:line="240" w:lineRule="auto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2019</w:t>
      </w:r>
      <w:r>
        <w:br w:type="page"/>
      </w:r>
    </w:p>
    <w:p w:rsidR="00AA4624" w:rsidRDefault="00DA5651">
      <w:pPr>
        <w:spacing w:after="0" w:line="240" w:lineRule="auto"/>
        <w:ind w:firstLine="709"/>
        <w:jc w:val="both"/>
      </w:pPr>
      <w:bookmarkStart w:id="0" w:name="_GoBack"/>
      <w:bookmarkEnd w:id="0"/>
      <w:r>
        <w:rPr>
          <w:rFonts w:ascii="PT Astra Serif" w:hAnsi="PT Astra Serif" w:cs="Candara"/>
          <w:color w:val="000000"/>
          <w:sz w:val="28"/>
          <w:szCs w:val="28"/>
        </w:rPr>
        <w:lastRenderedPageBreak/>
        <w:t xml:space="preserve">Настоящая памятка </w:t>
      </w:r>
      <w:r>
        <w:rPr>
          <w:rFonts w:ascii="PT Astra Serif" w:hAnsi="PT Astra Serif" w:cs="Candara"/>
          <w:color w:val="000000"/>
          <w:sz w:val="28"/>
          <w:szCs w:val="28"/>
        </w:rPr>
        <w:t>разъясняет основные обязанности,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(должностных) обязанностей.</w:t>
      </w:r>
    </w:p>
    <w:p w:rsidR="00AA4624" w:rsidRDefault="00DA5651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Предназначена для государственных и муниц</w:t>
      </w:r>
      <w:r>
        <w:rPr>
          <w:rFonts w:ascii="PT Astra Serif" w:hAnsi="PT Astra Serif" w:cs="Candara"/>
          <w:color w:val="000000"/>
          <w:sz w:val="28"/>
          <w:szCs w:val="28"/>
        </w:rPr>
        <w:t>ипальных служащих, лиц, замещающих государственные и муниципальные должности и иных лиц.</w:t>
      </w:r>
      <w:r>
        <w:br w:type="page"/>
      </w:r>
    </w:p>
    <w:p w:rsidR="00AA4624" w:rsidRDefault="00DA5651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>НОРМАТИВНАЯ ПРАВОВАЯ БАЗА</w:t>
      </w: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1. </w:t>
      </w:r>
      <w:r>
        <w:rPr>
          <w:rFonts w:ascii="PT Astra Serif" w:hAnsi="PT Astra Serif" w:cs="Candara"/>
          <w:color w:val="000000"/>
          <w:sz w:val="28"/>
          <w:szCs w:val="28"/>
        </w:rPr>
        <w:t>Гражданский кодекс Российской Федерации (далее – ГК РФ)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2. </w:t>
      </w:r>
      <w:r>
        <w:rPr>
          <w:rFonts w:ascii="PT Astra Serif" w:hAnsi="PT Astra Serif" w:cs="Candara"/>
          <w:color w:val="000000"/>
          <w:sz w:val="28"/>
          <w:szCs w:val="28"/>
        </w:rPr>
        <w:t>Трудовой кодекс Российской Федерации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3.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от 25.12.2008 № </w:t>
      </w:r>
      <w:r>
        <w:rPr>
          <w:rFonts w:ascii="PT Astra Serif" w:hAnsi="PT Astra Serif" w:cs="Candara"/>
          <w:color w:val="000000"/>
          <w:sz w:val="28"/>
          <w:szCs w:val="28"/>
        </w:rPr>
        <w:t>273-ФЗ «О противодействии коррупции» (далее – Федеральный закон «О противодействии коррупции»)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4.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от 27.07.2004 № 79-ФЗ «О государственной гражданской службе Российской Федерации» (далее – Федеральный закон «О государственной гражданской </w:t>
      </w:r>
      <w:r>
        <w:rPr>
          <w:rFonts w:ascii="PT Astra Serif" w:hAnsi="PT Astra Serif" w:cs="Candara"/>
          <w:color w:val="000000"/>
          <w:sz w:val="28"/>
          <w:szCs w:val="28"/>
        </w:rPr>
        <w:t>службе Российской Федерации»)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5. </w:t>
      </w:r>
      <w:r>
        <w:rPr>
          <w:rFonts w:ascii="PT Astra Serif" w:hAnsi="PT Astra Serif" w:cs="Candara"/>
          <w:color w:val="000000"/>
          <w:sz w:val="28"/>
          <w:szCs w:val="28"/>
        </w:rPr>
        <w:t>Федеральный закон от 02.03.2007 № 25-ФЗ «О муниципальной службе в Российской Федерации»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6. </w:t>
      </w:r>
      <w:r>
        <w:rPr>
          <w:rFonts w:ascii="PT Astra Serif" w:hAnsi="PT Astra Serif" w:cs="Candara"/>
          <w:color w:val="000000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</w:t>
      </w:r>
      <w:r>
        <w:rPr>
          <w:rFonts w:ascii="PT Astra Serif" w:hAnsi="PT Astra Serif" w:cs="Candara"/>
          <w:color w:val="000000"/>
          <w:sz w:val="28"/>
          <w:szCs w:val="28"/>
        </w:rPr>
        <w:t>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</w:t>
      </w:r>
      <w:r>
        <w:rPr>
          <w:rFonts w:ascii="PT Astra Serif" w:hAnsi="PT Astra Serif" w:cs="Candara"/>
          <w:color w:val="000000"/>
          <w:sz w:val="28"/>
          <w:szCs w:val="28"/>
        </w:rPr>
        <w:t>ырученных от его реализации»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7. </w:t>
      </w:r>
      <w:r>
        <w:rPr>
          <w:rFonts w:ascii="PT Astra Serif" w:hAnsi="PT Astra Serif" w:cs="Candara"/>
          <w:color w:val="000000"/>
          <w:sz w:val="28"/>
          <w:szCs w:val="28"/>
        </w:rPr>
        <w:t>Распоряжение Президента Российской Федерации от 29.05.2015             № 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</w:t>
      </w:r>
      <w:r>
        <w:rPr>
          <w:rFonts w:ascii="PT Astra Serif" w:hAnsi="PT Astra Serif" w:cs="Candara"/>
          <w:color w:val="000000"/>
          <w:sz w:val="28"/>
          <w:szCs w:val="28"/>
        </w:rPr>
        <w:t>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</w:t>
      </w:r>
      <w:r>
        <w:rPr>
          <w:rFonts w:ascii="PT Astra Serif" w:hAnsi="PT Astra Serif" w:cs="Candara"/>
          <w:color w:val="000000"/>
          <w:sz w:val="28"/>
          <w:szCs w:val="28"/>
        </w:rPr>
        <w:t>иятиями, участие в которых связано с исполнением служебных (должностных) обязанностей, сдачи, определения стоимости подарка и его реализации (выкупа)»</w:t>
      </w:r>
    </w:p>
    <w:p w:rsidR="00AA4624" w:rsidRDefault="00DA5651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8. П</w:t>
      </w:r>
      <w:r>
        <w:rPr>
          <w:rFonts w:ascii="PT Astra Serif" w:hAnsi="PT Astra Serif" w:cs="Candara"/>
          <w:color w:val="000000"/>
          <w:spacing w:val="7"/>
          <w:sz w:val="28"/>
          <w:szCs w:val="28"/>
        </w:rPr>
        <w:t xml:space="preserve">остановление Губернатора Курской области от 30 апреля 2014г. № 204-пг </w:t>
      </w:r>
      <w:r>
        <w:rPr>
          <w:rStyle w:val="22"/>
          <w:rFonts w:ascii="PT Astra Serif" w:hAnsi="PT Astra Serif" w:cs="Candara"/>
          <w:b w:val="0"/>
          <w:bCs w:val="0"/>
          <w:color w:val="000000"/>
          <w:sz w:val="28"/>
          <w:szCs w:val="28"/>
        </w:rPr>
        <w:t>«</w:t>
      </w:r>
      <w:r>
        <w:rPr>
          <w:rFonts w:ascii="PT Astra Serif" w:hAnsi="PT Astra Serif" w:cs="Candara"/>
          <w:color w:val="000000"/>
          <w:spacing w:val="7"/>
          <w:sz w:val="28"/>
          <w:szCs w:val="28"/>
        </w:rPr>
        <w:t>О порядке сообщения отдельными</w:t>
      </w:r>
      <w:r>
        <w:rPr>
          <w:rFonts w:ascii="PT Astra Serif" w:hAnsi="PT Astra Serif" w:cs="Candara"/>
          <w:color w:val="000000"/>
          <w:spacing w:val="7"/>
          <w:sz w:val="28"/>
          <w:szCs w:val="28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>
        <w:br w:type="page"/>
      </w:r>
    </w:p>
    <w:p w:rsidR="00AA4624" w:rsidRDefault="00DA5651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>ОСНОВНЫЕ ПОНЯТИЯ</w:t>
      </w: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настоящ</w:t>
      </w:r>
      <w:r>
        <w:rPr>
          <w:rFonts w:ascii="PT Astra Serif" w:hAnsi="PT Astra Serif" w:cs="Candara"/>
          <w:color w:val="000000"/>
          <w:sz w:val="28"/>
          <w:szCs w:val="28"/>
        </w:rPr>
        <w:t>ей памятке под «подарком» понимаются безвозмездно переданные в собственность вещи, денежные и иные вознаграждения, ссуды, предоставление услуг, оплата развлечений, отдыха, транспортных расходов.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Подарок, полученный в связи с протокольными мероприятиями, сл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ужебными командировками и другими официальными мероприятиями </w:t>
      </w:r>
      <w:r>
        <w:rPr>
          <w:rFonts w:ascii="PT Astra Serif" w:hAnsi="PT Astra Serif" w:cs="Candara"/>
          <w:color w:val="000000"/>
          <w:sz w:val="28"/>
          <w:szCs w:val="28"/>
        </w:rPr>
        <w:t>- подарок, полученный лицом, замещающим государственную (муниципальную) должность, служащим, работником от физических (юридических) лиц, которые осуществляют дарение исходя из должностного положе</w:t>
      </w:r>
      <w:r>
        <w:rPr>
          <w:rFonts w:ascii="PT Astra Serif" w:hAnsi="PT Astra Serif" w:cs="Candara"/>
          <w:color w:val="000000"/>
          <w:sz w:val="28"/>
          <w:szCs w:val="28"/>
        </w:rPr>
        <w:t>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мероприятий в целях исполнения им своих служебных (должностных) обязанностей, цветов и ценных подарков, которые вручены в качестве поощрения (награды).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ми мероприятиями, участие в которых связано с исполнением служебных (должностных) обязанностей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подарка </w:t>
      </w:r>
      <w:r>
        <w:rPr>
          <w:rFonts w:ascii="PT Astra Serif" w:hAnsi="PT Astra Serif" w:cs="Candara"/>
          <w:color w:val="000000"/>
          <w:sz w:val="28"/>
          <w:szCs w:val="28"/>
        </w:rPr>
        <w:t>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</w:t>
      </w:r>
      <w:r>
        <w:rPr>
          <w:rFonts w:ascii="PT Astra Serif" w:hAnsi="PT Astra Serif" w:cs="Candara"/>
          <w:color w:val="000000"/>
          <w:sz w:val="28"/>
          <w:szCs w:val="28"/>
        </w:rPr>
        <w:t>щими особенности правового положения и специфику профессиональной служебной и трудовой деятельности указанных лиц.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По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договору дарения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одна сторона (даритель) </w:t>
      </w:r>
      <w:r>
        <w:rPr>
          <w:rFonts w:ascii="PT Astra Serif" w:hAnsi="PT Astra Serif" w:cs="Candara,Italic"/>
          <w:color w:val="000000"/>
          <w:sz w:val="28"/>
          <w:szCs w:val="28"/>
        </w:rPr>
        <w:t xml:space="preserve">безвозмездно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передает или обязуется передать другой стороне (одаряемому) вещь в собственность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либо имущественное право (требование) к себе или к третьему 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лицу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либо освобождает или обязуется освободить ее от имущественной обязанности перед собой или перед третьим лицом.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При наличии встречной передачи вещи или права либо встречного обязательства дого</w:t>
      </w:r>
      <w:r>
        <w:rPr>
          <w:rFonts w:ascii="PT Astra Serif" w:hAnsi="PT Astra Serif" w:cs="Candara"/>
          <w:color w:val="000000"/>
          <w:sz w:val="28"/>
          <w:szCs w:val="28"/>
        </w:rPr>
        <w:t>вор не признается дарением (статья 572 ГК РФ).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Подарком </w:t>
      </w:r>
      <w:r>
        <w:rPr>
          <w:rFonts w:ascii="PT Astra Serif" w:hAnsi="PT Astra Serif" w:cs="Candara"/>
          <w:color w:val="000000"/>
          <w:sz w:val="28"/>
          <w:szCs w:val="28"/>
        </w:rPr>
        <w:t>признается не только какая-то вещь, но и имущественное право или освобождение от имущественной обязанности. Главными признаками подарка являются безвозмездность и переход в собственность одаряемого. П</w:t>
      </w:r>
      <w:r>
        <w:rPr>
          <w:rFonts w:ascii="PT Astra Serif" w:hAnsi="PT Astra Serif" w:cs="Candara"/>
          <w:color w:val="000000"/>
          <w:sz w:val="28"/>
          <w:szCs w:val="28"/>
        </w:rPr>
        <w:t>одарок предлагается без ожидания аналогичных ответных действий или соответствующей платы со стороны одаряемого. Вместе с тем когда у одаряемого возникает обязанность в обмен на подарок выполнить определенные действия, связанные со служебным положением полу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чателя, подарок может расцениваться как взятка. К категории таких подарков относятся и подарочные карты с денежным номиналом, так как они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фактически представляют собой в некоторой степени завуалированную передачу наличных денег.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Признаком дарения служит от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сутствие какого бы то ни было встречного удовлетворения.</w:t>
      </w: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ЗАПРЕЩЕНИЕ ДАРЕНИЯ</w:t>
      </w: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Статья 575 Гражданского кодекса Российской Федерации: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Не допускается дарение</w:t>
      </w:r>
      <w:r>
        <w:rPr>
          <w:rFonts w:ascii="PT Astra Serif" w:hAnsi="PT Astra Serif" w:cs="Candara"/>
          <w:color w:val="000000"/>
          <w:sz w:val="28"/>
          <w:szCs w:val="28"/>
        </w:rPr>
        <w:t>, за исключением обычных подарков, стоимость которых не превышает трех тысяч рублей: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работникам обра</w:t>
      </w:r>
      <w:r>
        <w:rPr>
          <w:rFonts w:ascii="PT Astra Serif" w:hAnsi="PT Astra Serif" w:cs="Candara"/>
          <w:color w:val="000000"/>
          <w:sz w:val="28"/>
          <w:szCs w:val="28"/>
        </w:rPr>
        <w:t>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</w:t>
      </w:r>
      <w:r>
        <w:rPr>
          <w:rFonts w:ascii="PT Astra Serif" w:hAnsi="PT Astra Serif" w:cs="Candara"/>
          <w:color w:val="000000"/>
          <w:sz w:val="28"/>
          <w:szCs w:val="28"/>
        </w:rPr>
        <w:t>нии или воспитании, супругами и родственниками этих граждан;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</w:t>
      </w:r>
      <w:r>
        <w:rPr>
          <w:rFonts w:ascii="PT Astra Serif" w:hAnsi="PT Astra Serif" w:cs="Candara"/>
          <w:color w:val="000000"/>
          <w:sz w:val="28"/>
          <w:szCs w:val="28"/>
        </w:rPr>
        <w:t>ащим в связи с их должностным положением или в связи с исполнением ими служебных обязанностей.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установленный пунктом 1 настоящей </w:t>
      </w:r>
      <w:proofErr w:type="gramStart"/>
      <w:r>
        <w:rPr>
          <w:rFonts w:ascii="PT Astra Serif" w:hAnsi="PT Astra Serif" w:cs="Candara"/>
          <w:color w:val="000000"/>
          <w:sz w:val="28"/>
          <w:szCs w:val="28"/>
        </w:rPr>
        <w:t>стать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и,   </w:t>
      </w:r>
      <w:proofErr w:type="gramEnd"/>
      <w:r>
        <w:rPr>
          <w:rFonts w:ascii="PT Astra Serif" w:hAnsi="PT Astra Serif" w:cs="Candara"/>
          <w:color w:val="000000"/>
          <w:sz w:val="28"/>
          <w:szCs w:val="28"/>
        </w:rPr>
        <w:t xml:space="preserve">      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распространяется на случаи дарения </w:t>
      </w:r>
      <w:r>
        <w:rPr>
          <w:rFonts w:ascii="PT Astra Serif" w:hAnsi="PT Astra Serif" w:cs="Candara"/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</w:t>
      </w:r>
      <w:r>
        <w:rPr>
          <w:rFonts w:ascii="PT Astra Serif" w:hAnsi="PT Astra Serif" w:cs="Candara"/>
          <w:color w:val="000000"/>
          <w:sz w:val="28"/>
          <w:szCs w:val="28"/>
        </w:rPr>
        <w:t>венные должности субъектов Российской Федерации, муниципальные должности, государственными служащими, муниципальными служащими, и стоимость которых превышает три тысячи рублей, признаются соответственно федеральной собственностью, собственностью субъекта Р</w:t>
      </w:r>
      <w:r>
        <w:rPr>
          <w:rFonts w:ascii="PT Astra Serif" w:hAnsi="PT Astra Serif" w:cs="Candara"/>
          <w:color w:val="000000"/>
          <w:sz w:val="28"/>
          <w:szCs w:val="28"/>
        </w:rPr>
        <w:t>оссийской Федерации или муниципальной собственностью и передаются служащим по акту в орган, в котором указанное лицо замещает должность.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Подпункт 7 пункта 3 статьи 12.1 Федерального закона «О противодействии коррупции»: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Лица, замещающие государственные до</w:t>
      </w:r>
      <w:r>
        <w:rPr>
          <w:rFonts w:ascii="PT Astra Serif" w:hAnsi="PT Astra Serif" w:cs="Candara"/>
          <w:color w:val="000000"/>
          <w:sz w:val="28"/>
          <w:szCs w:val="28"/>
        </w:rPr>
        <w:t>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чия на постоянной основе,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вправе получать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выполнением служебных (должностных) обязанностей не предусмотренные законодательством Российской Федерации вознаграждения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(ссуды, денежное и иное вознаграждение, услуги, оплату развлечений, отдыха, тра</w:t>
      </w:r>
      <w:r>
        <w:rPr>
          <w:rFonts w:ascii="PT Astra Serif" w:hAnsi="PT Astra Serif" w:cs="Candara"/>
          <w:color w:val="000000"/>
          <w:sz w:val="28"/>
          <w:szCs w:val="28"/>
        </w:rPr>
        <w:t>нспортных расходов) и подарки от физических и юридических лиц.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Статья 13.3. Федерального закона «О противодействии коррупции»:</w:t>
      </w:r>
    </w:p>
    <w:p w:rsidR="00AA4624" w:rsidRDefault="00DA565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1. Организации обязаны разрабатывать и принимать меры по предупреждению коррупции.</w:t>
      </w:r>
    </w:p>
    <w:p w:rsidR="00AA4624" w:rsidRDefault="00DA5651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b/>
          <w:bCs/>
          <w:sz w:val="28"/>
          <w:szCs w:val="28"/>
        </w:rPr>
        <w:t xml:space="preserve">Меры по предупреждению коррупции, </w:t>
      </w:r>
      <w:r>
        <w:rPr>
          <w:rFonts w:ascii="PT Astra Serif" w:hAnsi="PT Astra Serif"/>
          <w:b/>
          <w:bCs/>
          <w:sz w:val="28"/>
          <w:szCs w:val="28"/>
        </w:rPr>
        <w:t>принимаемые в организации, могут включать:</w:t>
      </w:r>
    </w:p>
    <w:p w:rsidR="00AA4624" w:rsidRDefault="00DA5651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AA4624" w:rsidRDefault="00DA5651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сотрудничество организации с правоохранительными органами;</w:t>
      </w:r>
    </w:p>
    <w:p w:rsidR="00AA4624" w:rsidRDefault="00DA5651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>
        <w:rPr>
          <w:rFonts w:ascii="PT Astra Serif" w:hAnsi="PT Astra Serif"/>
          <w:b/>
          <w:bCs/>
          <w:sz w:val="28"/>
          <w:szCs w:val="28"/>
        </w:rPr>
        <w:t>разработку и внедрение в практи</w:t>
      </w:r>
      <w:r>
        <w:rPr>
          <w:rFonts w:ascii="PT Astra Serif" w:hAnsi="PT Astra Serif"/>
          <w:b/>
          <w:bCs/>
          <w:sz w:val="28"/>
          <w:szCs w:val="28"/>
        </w:rPr>
        <w:t>ку стандартов и процедур, направленных на обеспечение добросовестной работы организации</w:t>
      </w:r>
      <w:r>
        <w:rPr>
          <w:rFonts w:ascii="PT Astra Serif" w:hAnsi="PT Astra Serif"/>
          <w:sz w:val="28"/>
          <w:szCs w:val="28"/>
        </w:rPr>
        <w:t>;</w:t>
      </w:r>
    </w:p>
    <w:p w:rsidR="00AA4624" w:rsidRDefault="00DA5651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принятие кодекса этики и служебного поведения работников организации;</w:t>
      </w:r>
    </w:p>
    <w:p w:rsidR="00AA4624" w:rsidRDefault="00DA5651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предотвращение и урегулирование конфликта интересов;</w:t>
      </w:r>
    </w:p>
    <w:p w:rsidR="00AA4624" w:rsidRDefault="00DA5651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недопущение составления неофициальн</w:t>
      </w:r>
      <w:r>
        <w:rPr>
          <w:rFonts w:ascii="PT Astra Serif" w:hAnsi="PT Astra Serif"/>
          <w:sz w:val="28"/>
          <w:szCs w:val="28"/>
        </w:rPr>
        <w:t>ой отчетности и использования поддельных документов.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Подпункт 6 пункта 1 статьи 17 Федерального закона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«О государственной гражданской службе Российской Федерации»: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прохождением гражданской службы гражданскому служащему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запрещается получать </w:t>
      </w:r>
      <w:r>
        <w:rPr>
          <w:rFonts w:ascii="PT Astra Serif" w:hAnsi="PT Astra Serif" w:cs="Candara"/>
          <w:color w:val="000000"/>
          <w:sz w:val="28"/>
          <w:szCs w:val="28"/>
        </w:rPr>
        <w:t>в свя</w:t>
      </w:r>
      <w:r>
        <w:rPr>
          <w:rFonts w:ascii="PT Astra Serif" w:hAnsi="PT Astra Serif" w:cs="Candara"/>
          <w:color w:val="000000"/>
          <w:sz w:val="28"/>
          <w:szCs w:val="28"/>
        </w:rPr>
        <w:t>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Подпункт 5 пункта 1 статьи 14 Федерального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 закона от 02.03.2007 № 25-ФЗ «О муниципальной службе в Российской Федерации»: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В связи с прохождением муниципальной службы муниципальному служащему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запрещается получать </w:t>
      </w:r>
      <w:r>
        <w:rPr>
          <w:rFonts w:ascii="PT Astra Serif" w:hAnsi="PT Astra Serif" w:cs="Candara"/>
          <w:color w:val="000000"/>
          <w:sz w:val="28"/>
          <w:szCs w:val="28"/>
        </w:rPr>
        <w:t>в связи с должностным положением или в связи с исполнением должностных обязанностей воз</w:t>
      </w:r>
      <w:r>
        <w:rPr>
          <w:rFonts w:ascii="PT Astra Serif" w:hAnsi="PT Astra Serif" w:cs="Candara"/>
          <w:color w:val="000000"/>
          <w:sz w:val="28"/>
          <w:szCs w:val="28"/>
        </w:rPr>
        <w:t>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При выяснении вопроса о наличии связи подарка с должностным положением или исполнением </w:t>
      </w:r>
      <w:r>
        <w:rPr>
          <w:rFonts w:ascii="PT Astra Serif" w:hAnsi="PT Astra Serif" w:cs="Candara"/>
          <w:color w:val="000000"/>
          <w:sz w:val="28"/>
          <w:szCs w:val="28"/>
        </w:rPr>
        <w:t>служебных (должностных) обязанностей необходимо принимать во внимание взаимоотношения одаряемого с дарителем и обстоятельства вручения подарка.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Должностному лицу следует избегать получения (отказываться от получения) подарков от подчиненных, представителей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поднадзорных (подконтрольных) органов и организаций, участников судопроизводства либо иного порядка рассмотрения дел, в которых оно принимает или принимало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участие, граждан, обращения которых оно рассматривает или рассматривало, либо их представителей.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Пр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и обнаружении должностным лицом подарка, оставленного для него одним из таких лиц на его рабочем месте,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рекомендуется </w:t>
      </w:r>
      <w:r>
        <w:rPr>
          <w:rFonts w:ascii="PT Astra Serif" w:hAnsi="PT Astra Serif" w:cs="Candara"/>
          <w:color w:val="000000"/>
          <w:sz w:val="28"/>
          <w:szCs w:val="28"/>
        </w:rPr>
        <w:t>принять меры для возвращения подарка оставившему его лицу, а в случае невозможности его возврата (например, в связи с отсутствием контактн</w:t>
      </w:r>
      <w:r>
        <w:rPr>
          <w:rFonts w:ascii="PT Astra Serif" w:hAnsi="PT Astra Serif" w:cs="Candara"/>
          <w:color w:val="000000"/>
          <w:sz w:val="28"/>
          <w:szCs w:val="28"/>
        </w:rPr>
        <w:t>ых данных лица, оставившего подарок) незамедлительно письменно уведомить об этом подразделение (должностное лицо) органа или организации, ответственное за профилактику коррупционных и иных правонарушений, одновременно сдав подарок в уполномоченное подразде</w:t>
      </w:r>
      <w:r>
        <w:rPr>
          <w:rFonts w:ascii="PT Astra Serif" w:hAnsi="PT Astra Serif" w:cs="Candara"/>
          <w:color w:val="000000"/>
          <w:sz w:val="28"/>
          <w:szCs w:val="28"/>
        </w:rPr>
        <w:t>ление. Дальнейшая судьба такого подарка должна решаться комиссией органа или организации, при этом возврат такого подарка должностному лицу и его выкуп в названном случае невозможны.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Получение подарков родственниками должностного лица, на которого распрост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раняется запрет, от лиц, заинтересованных в использовании им своего служебного положения и статуса для предоставления таким лицам необоснованных преимуществ, также может быть вызвано желанием дарителя обойти существующие нормативные ограничения и повлиять </w:t>
      </w:r>
      <w:r>
        <w:rPr>
          <w:rFonts w:ascii="PT Astra Serif" w:hAnsi="PT Astra Serif" w:cs="Candara"/>
          <w:color w:val="000000"/>
          <w:sz w:val="28"/>
          <w:szCs w:val="28"/>
        </w:rPr>
        <w:t>на действия и решения должностного лица.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Поскольку получение подарка в связи с исполнением служебных (должностных) обязанностей является коррупционным правонарушением, настойчивые неоднократные предложения принять подарок, исходящие от лица, заинтересованн</w:t>
      </w:r>
      <w:r>
        <w:rPr>
          <w:rFonts w:ascii="PT Astra Serif" w:hAnsi="PT Astra Serif" w:cs="Candara"/>
          <w:color w:val="000000"/>
          <w:sz w:val="28"/>
          <w:szCs w:val="28"/>
        </w:rPr>
        <w:t>ого в использовании должностного положения служащего, следует расценивать как склонение к совершению коррупционного правонарушения, о чем государственный или муниципальный служащий должен уведомить представителя нанимателя (работодателя), органы прокуратур</w:t>
      </w:r>
      <w:r>
        <w:rPr>
          <w:rFonts w:ascii="PT Astra Serif" w:hAnsi="PT Astra Serif" w:cs="Candara"/>
          <w:color w:val="000000"/>
          <w:sz w:val="28"/>
          <w:szCs w:val="28"/>
        </w:rPr>
        <w:t>ы или другие государственные органы в соответствии со статьей 9 Федерального закона «О противодействии коррупции».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Невыполнение государственным или муниципальным служащим должностной (служебной) обязанности уведомлять об обращении в целях склонения к совер</w:t>
      </w:r>
      <w:r>
        <w:rPr>
          <w:rFonts w:ascii="PT Astra Serif" w:hAnsi="PT Astra Serif" w:cs="Candara"/>
          <w:color w:val="000000"/>
          <w:sz w:val="28"/>
          <w:szCs w:val="28"/>
        </w:rPr>
        <w:t>шению коррупционных правонарушений,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Запрет на получение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 подарков должностными лицами не распространяется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на случаи дарения в связи с: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протокольными мероприятиями,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служебными командировками,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Wingdings"/>
          <w:color w:val="000000"/>
          <w:sz w:val="28"/>
          <w:szCs w:val="28"/>
        </w:rPr>
        <w:t xml:space="preserve">- </w:t>
      </w:r>
      <w:r>
        <w:rPr>
          <w:rFonts w:ascii="PT Astra Serif" w:hAnsi="PT Astra Serif" w:cs="Candara"/>
          <w:color w:val="000000"/>
          <w:sz w:val="28"/>
          <w:szCs w:val="28"/>
        </w:rPr>
        <w:t>другими официальными мероприятиями.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Такие подарки признаются собственностью соответственно Российской Федерации, </w:t>
      </w:r>
      <w:r>
        <w:rPr>
          <w:rFonts w:ascii="PT Astra Serif" w:hAnsi="PT Astra Serif" w:cs="Candara"/>
          <w:color w:val="000000"/>
          <w:sz w:val="28"/>
          <w:szCs w:val="28"/>
        </w:rPr>
        <w:t>субъекта Российской Федерации или муниципального образования и передаются по акту в соответствующий государственный или муниципальный орган.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Лицо, сдавшее подарок, полученный им в связи с официальным мероприятием, может его выкупить в установленном порядке</w:t>
      </w:r>
      <w:r>
        <w:rPr>
          <w:rFonts w:ascii="PT Astra Serif" w:hAnsi="PT Astra Serif" w:cs="Candara"/>
          <w:color w:val="000000"/>
          <w:sz w:val="28"/>
          <w:szCs w:val="28"/>
        </w:rPr>
        <w:t>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Денежное вознаграждение, вручаемое одновременно с поощрением (наградой), является его составной частью в случае, если данное вознаграждение предусмотрено нормативным правовым актов, регулирующим порядок вручения соответствующего поощрения (награды). В эт</w:t>
      </w:r>
      <w:r>
        <w:rPr>
          <w:rFonts w:ascii="PT Astra Serif" w:hAnsi="PT Astra Serif" w:cs="Candara"/>
          <w:color w:val="000000"/>
          <w:sz w:val="28"/>
          <w:szCs w:val="28"/>
        </w:rPr>
        <w:t>ой связи должностное лицо вправе получать от имени государственных (муниципальных) органов, иных организаций ценные подарки, вручаемые в качестве поощрения (награды), с одновременной выплатой денежного вознаграждения. При этом получение таких поощрений (на</w:t>
      </w:r>
      <w:r>
        <w:rPr>
          <w:rFonts w:ascii="PT Astra Serif" w:hAnsi="PT Astra Serif" w:cs="Candara"/>
          <w:color w:val="000000"/>
          <w:sz w:val="28"/>
          <w:szCs w:val="28"/>
        </w:rPr>
        <w:t>град) не исключает возможность возникновения конфликта интересов.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К случаям получения подарка в связи с протокольными мероприятиями, служебными командировками и другими официальными мероприятиями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относятся факты оставления организаторами мероприятия в гос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тиничном номере подарков </w:t>
      </w:r>
      <w:r>
        <w:rPr>
          <w:rFonts w:ascii="PT Astra Serif" w:hAnsi="PT Astra Serif" w:cs="Candara"/>
          <w:color w:val="000000"/>
          <w:sz w:val="28"/>
          <w:szCs w:val="28"/>
        </w:rPr>
        <w:t>и сувениров, а также вручения подарков от имени участвующих в мероприятиях делегаций в перерыве между мероприятиями или после их окончания.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000000"/>
          <w:sz w:val="28"/>
          <w:szCs w:val="28"/>
        </w:rPr>
      </w:pPr>
      <w:r>
        <w:br w:type="page"/>
      </w:r>
    </w:p>
    <w:p w:rsidR="00AA4624" w:rsidRDefault="00DA565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lastRenderedPageBreak/>
        <w:t xml:space="preserve">Порядок </w:t>
      </w:r>
    </w:p>
    <w:p w:rsidR="00AA4624" w:rsidRDefault="00DA565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сообщения о получении подарка в связи с протокольными мероприятиями, служебными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командировками и другими официальными мероприятиями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4" w:type="dxa"/>
        <w:jc w:val="center"/>
        <w:tblLook w:val="0600" w:firstRow="0" w:lastRow="0" w:firstColumn="0" w:lastColumn="0" w:noHBand="1" w:noVBand="1"/>
      </w:tblPr>
      <w:tblGrid>
        <w:gridCol w:w="9354"/>
      </w:tblGrid>
      <w:tr w:rsidR="00AA4624">
        <w:trPr>
          <w:jc w:val="center"/>
        </w:trPr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AA4624" w:rsidRDefault="00DA5651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Получение подарка в связи с протокольными мероприятиями, служебными командировками и другими официальными мероприятиями.</w:t>
            </w:r>
          </w:p>
        </w:tc>
      </w:tr>
    </w:tbl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1" behindDoc="0" locked="0" layoutInCell="0" hidden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101600</wp:posOffset>
                </wp:positionV>
                <wp:extent cx="243205" cy="557530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kwAAAACgAAAAAAAAAAAAAAAAAAACAAAAygAAAAAAAAACAAAAoAAAAH8BAABuAwAACAAAAG8HAAD1D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43205" cy="557530"/>
                        </a:xfrm>
                        <a:custGeom>
                          <a:avLst/>
                          <a:gdLst/>
                          <a:ahLst/>
                          <a:cxnLst/>
                          <a:rect l="0" t="0" r="243205" b="557530"/>
                          <a:pathLst>
                            <a:path w="243205" h="557530">
                              <a:moveTo>
                                <a:pt x="60639" y="0"/>
                              </a:moveTo>
                              <a:lnTo>
                                <a:pt x="60639" y="417508"/>
                              </a:lnTo>
                              <a:lnTo>
                                <a:pt x="0" y="417508"/>
                              </a:lnTo>
                              <a:lnTo>
                                <a:pt x="121279" y="556891"/>
                              </a:lnTo>
                              <a:lnTo>
                                <a:pt x="242559" y="417508"/>
                              </a:lnTo>
                              <a:lnTo>
                                <a:pt x="181919" y="417508"/>
                              </a:lnTo>
                              <a:lnTo>
                                <a:pt x="181919" y="0"/>
                              </a:lnTo>
                              <a:lnTo>
                                <a:pt x="60639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1" o:spid="_x0000_s1026" style="position:absolute;margin-left:10.10pt;margin-top:8.00pt;width:19.15pt;height:43.90pt;z-index:251658241;mso-wrap-distance-left:0.00pt;mso-wrap-distance-top:0.00pt;mso-wrap-distance-right:0.00pt;mso-wrap-distance-bottom:0.00pt;mso-wrap-style:square" coordsize="383,878" path="m96,0l96,657l0,657l191,877l382,657l286,657l286,0l96,0e" strokeweight="0.00pt" strokecolor="#3465a4" fillcolor="#729fcf" v:ext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kwAAAACgAAAAAAAAAAAAAAAAAAACAAAAygAAAAAAAAACAAAAoAAAAH8BAABuAwAACAAAAG8HAAD1DwAAKAAAAAgAAAABAAAAAQAAAA==">
                <v:path arrowok="t"/>
                <v:fill color2="#000000" type="solid" angle="90"/>
                <w10:wrap type="none" anchorx="text" anchory="text"/>
              </v:shape>
            </w:pict>
          </mc:Fallback>
        </mc:AlternateContent>
      </w:r>
      <w:r>
        <w:rPr>
          <w:rFonts w:ascii="PT Astra Serif" w:hAnsi="PT Astra Serif" w:cs="Candara"/>
          <w:color w:val="000000"/>
          <w:sz w:val="28"/>
          <w:szCs w:val="28"/>
        </w:rPr>
        <w:t>не позднее трех рабочих дней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со дня получения подарка либо возвращения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из </w:t>
      </w:r>
      <w:r>
        <w:rPr>
          <w:rFonts w:ascii="PT Astra Serif" w:hAnsi="PT Astra Serif" w:cs="Candara"/>
          <w:color w:val="000000"/>
          <w:sz w:val="28"/>
          <w:szCs w:val="28"/>
        </w:rPr>
        <w:t>служебной командировки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2" w:type="dxa"/>
        <w:tblInd w:w="3" w:type="dxa"/>
        <w:tblLook w:val="0600" w:firstRow="0" w:lastRow="0" w:firstColumn="0" w:lastColumn="0" w:noHBand="1" w:noVBand="1"/>
      </w:tblPr>
      <w:tblGrid>
        <w:gridCol w:w="9352"/>
      </w:tblGrid>
      <w:tr w:rsidR="00AA4624">
        <w:tc>
          <w:tcPr>
            <w:tcW w:w="9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AA4624" w:rsidRDefault="00DA5651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Лицо обязано уведомить орган или организацию, в которых проходит государственную (муниципальную) службу или осуществляет трудовую деятельность.</w:t>
            </w:r>
          </w:p>
        </w:tc>
      </w:tr>
    </w:tbl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2" behindDoc="0" locked="0" layoutInCell="0" hidden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186055</wp:posOffset>
                </wp:positionV>
                <wp:extent cx="243205" cy="500380"/>
                <wp:effectExtent l="0" t="0" r="0" b="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mAAAAACgAAAAAAAAAAAAAAAAAAACAAAA9wAAAAAAAAACAAAAJQEAAH8BAAAUAwAACAAAAJwHAADHG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43205" cy="500380"/>
                        </a:xfrm>
                        <a:custGeom>
                          <a:avLst/>
                          <a:gdLst/>
                          <a:ahLst/>
                          <a:cxnLst/>
                          <a:rect l="0" t="0" r="243205" b="500380"/>
                          <a:pathLst>
                            <a:path w="243205" h="500380">
                              <a:moveTo>
                                <a:pt x="60639" y="0"/>
                              </a:moveTo>
                              <a:lnTo>
                                <a:pt x="60639" y="374325"/>
                              </a:lnTo>
                              <a:lnTo>
                                <a:pt x="0" y="374325"/>
                              </a:lnTo>
                              <a:lnTo>
                                <a:pt x="121279" y="499740"/>
                              </a:lnTo>
                              <a:lnTo>
                                <a:pt x="242559" y="374325"/>
                              </a:lnTo>
                              <a:lnTo>
                                <a:pt x="181919" y="374325"/>
                              </a:lnTo>
                              <a:lnTo>
                                <a:pt x="181919" y="0"/>
                              </a:lnTo>
                              <a:lnTo>
                                <a:pt x="60639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2" o:spid="_x0000_s1027" style="position:absolute;margin-left:12.35pt;margin-top:14.65pt;width:19.15pt;height:39.40pt;z-index:251658242;mso-wrap-distance-left:0.00pt;mso-wrap-distance-top:0.00pt;mso-wrap-distance-right:0.00pt;mso-wrap-distance-bottom:0.00pt;mso-wrap-style:square" coordsize="383,788" path="m96,0l96,590l0,590l191,787l382,590l286,590l286,0l96,0e" strokeweight="0.00pt" strokecolor="#3465a4" fillcolor="#729fcf" v:ext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mAAAAACgAAAAAAAAAAAAAAAAAAACAAAA9wAAAAAAAAACAAAAJQEAAH8BAAAUAwAACAAAAJwHAADHGQAAKAAAAAgAAAABAAAAAQAAAA==">
                <v:path arrowok="t"/>
                <v:fill color2="#000000" type="solid" angle="90"/>
                <w10:wrap type="none" anchorx="text" anchory="text"/>
              </v:shape>
            </w:pict>
          </mc:Fallback>
        </mc:AlternateConten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не позднее пяти рабочих дней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со дня регистрации уведомления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2" w:type="dxa"/>
        <w:tblInd w:w="3" w:type="dxa"/>
        <w:tblLook w:val="0600" w:firstRow="0" w:lastRow="0" w:firstColumn="0" w:lastColumn="0" w:noHBand="1" w:noVBand="1"/>
      </w:tblPr>
      <w:tblGrid>
        <w:gridCol w:w="9352"/>
      </w:tblGrid>
      <w:tr w:rsidR="00AA4624">
        <w:tc>
          <w:tcPr>
            <w:tcW w:w="9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AA4624" w:rsidRDefault="00DA5651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 подлежит передаче на хранение. </w:t>
            </w:r>
          </w:p>
          <w:p w:rsidR="00AA4624" w:rsidRDefault="00DA5651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Подарок, полученный лицом, замещающим государственную (муниципальную) должность,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независимо от его стоимости</w:t>
            </w:r>
            <w:r>
              <w:rPr>
                <w:rFonts w:ascii="PT Astra Serif" w:hAnsi="PT Astra Serif"/>
                <w:sz w:val="28"/>
                <w:szCs w:val="28"/>
              </w:rPr>
              <w:t>, подлежит передаче на хранение.</w:t>
            </w:r>
          </w:p>
        </w:tc>
      </w:tr>
    </w:tbl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tbl>
      <w:tblPr>
        <w:tblW w:w="9352" w:type="dxa"/>
        <w:tblInd w:w="3" w:type="dxa"/>
        <w:tblLook w:val="0600" w:firstRow="0" w:lastRow="0" w:firstColumn="0" w:lastColumn="0" w:noHBand="1" w:noVBand="1"/>
      </w:tblPr>
      <w:tblGrid>
        <w:gridCol w:w="9352"/>
      </w:tblGrid>
      <w:tr w:rsidR="00AA4624">
        <w:tc>
          <w:tcPr>
            <w:tcW w:w="9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AA4624" w:rsidRDefault="00DA5651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Определение стоимости подарка</w:t>
            </w:r>
          </w:p>
          <w:p w:rsidR="00AA4624" w:rsidRDefault="00DA5651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(с привлечением при необходимости комиссии </w:t>
            </w:r>
            <w:r>
              <w:rPr>
                <w:rFonts w:ascii="PT Astra Serif" w:hAnsi="PT Astra Serif"/>
                <w:sz w:val="28"/>
                <w:szCs w:val="28"/>
              </w:rPr>
              <w:t>или коллегиального органа на основе рыночной цены или цены на аналогичную материальную ценность)</w:t>
            </w:r>
          </w:p>
        </w:tc>
      </w:tr>
    </w:tbl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3" behindDoc="0" locked="0" layoutInCell="0" hidden="0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32385</wp:posOffset>
                </wp:positionV>
                <wp:extent cx="225425" cy="205105"/>
                <wp:effectExtent l="0" t="0" r="0" b="0"/>
                <wp:wrapNone/>
                <wp:docPr id="3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nwAAAACgAAAAAAAAAAAAAAAAAAACAAAAwwcAAAAAAAACAAAAMwAAAGMBAABDAQAACAAAAGgOAADpK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25425" cy="205105"/>
                        </a:xfrm>
                        <a:custGeom>
                          <a:avLst/>
                          <a:gdLst/>
                          <a:ahLst/>
                          <a:cxnLst/>
                          <a:rect l="0" t="0" r="225425" b="205105"/>
                          <a:pathLst>
                            <a:path w="225425" h="205105">
                              <a:moveTo>
                                <a:pt x="55869" y="0"/>
                              </a:moveTo>
                              <a:lnTo>
                                <a:pt x="55869" y="153552"/>
                              </a:lnTo>
                              <a:lnTo>
                                <a:pt x="0" y="153552"/>
                              </a:lnTo>
                              <a:lnTo>
                                <a:pt x="112387" y="204736"/>
                              </a:lnTo>
                              <a:lnTo>
                                <a:pt x="224775" y="153552"/>
                              </a:lnTo>
                              <a:lnTo>
                                <a:pt x="168256" y="153552"/>
                              </a:lnTo>
                              <a:lnTo>
                                <a:pt x="168256" y="0"/>
                              </a:lnTo>
                              <a:lnTo>
                                <a:pt x="55869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4" o:spid="_x0000_s1028" style="position:absolute;margin-left:99.35pt;margin-top:2.55pt;width:17.75pt;height:16.15pt;z-index:251658243;mso-wrap-distance-left:0.00pt;mso-wrap-distance-top:0.00pt;mso-wrap-distance-right:0.00pt;mso-wrap-distance-bottom:0.00pt;mso-wrap-style:square" coordsize="355,323" path="m88,0l88,242l0,242l177,322l354,242l265,242l265,0l88,0e" strokeweight="0.00pt" strokecolor="#3465a4" fillcolor="#729fcf" v:ext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nwAAAACgAAAAAAAAAAAAAAAAAAACAAAAwwcAAAAAAAACAAAAMwAAAGMBAABDAQAACAAAAGgOAADpKAAAKAAAAAgAAAABAAAAAQAAAA==">
                <v:path arrowok="t"/>
                <v:fill color2="#000000" type="solid" angle="90"/>
                <w10:wrap type="none" anchorx="text" anchory="tex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4" behindDoc="0" locked="0" layoutInCell="0" hidden="0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22860</wp:posOffset>
                </wp:positionV>
                <wp:extent cx="214630" cy="186055"/>
                <wp:effectExtent l="0" t="0" r="0" b="0"/>
                <wp:wrapNone/>
                <wp:docPr id="4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nwAAAACgAAAAAAAAAAAAAAAAAAACAAAA7BoAAAAAAAACAAAAJAAAAFIBAAAlAQAACAAAAJEhAADaK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14630" cy="186055"/>
                        </a:xfrm>
                        <a:custGeom>
                          <a:avLst/>
                          <a:gdLst/>
                          <a:ahLst/>
                          <a:cxnLst/>
                          <a:rect l="0" t="0" r="214630" b="186055"/>
                          <a:pathLst>
                            <a:path w="214630" h="186055">
                              <a:moveTo>
                                <a:pt x="53011" y="0"/>
                              </a:moveTo>
                              <a:lnTo>
                                <a:pt x="53011" y="139315"/>
                              </a:lnTo>
                              <a:lnTo>
                                <a:pt x="0" y="139315"/>
                              </a:lnTo>
                              <a:lnTo>
                                <a:pt x="106669" y="185753"/>
                              </a:lnTo>
                              <a:lnTo>
                                <a:pt x="213984" y="139315"/>
                              </a:lnTo>
                              <a:lnTo>
                                <a:pt x="160326" y="139315"/>
                              </a:lnTo>
                              <a:lnTo>
                                <a:pt x="160326" y="0"/>
                              </a:lnTo>
                              <a:lnTo>
                                <a:pt x="53011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5" o:spid="_x0000_s1029" style="position:absolute;margin-left:344.60pt;margin-top:1.80pt;width:16.90pt;height:14.65pt;z-index:251658244;mso-wrap-distance-left:0.00pt;mso-wrap-distance-top:0.00pt;mso-wrap-distance-right:0.00pt;mso-wrap-distance-bottom:0.00pt;mso-wrap-style:square" coordsize="338,293" path="m83,0l83,219l0,219l168,293l337,219l252,219l252,0l83,0e" strokeweight="0.00pt" strokecolor="#3465a4" fillcolor="#729fcf" v:ext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nwAAAACgAAAAAAAAAAAAAAAAAAACAAAA7BoAAAAAAAACAAAAJAAAAFIBAAAlAQAACAAAAJEhAADaKAAAKAAAAAgAAAABAAAAAQAAAA==">
                <v:path arrowok="t"/>
                <v:fill color2="#000000" type="solid" angle="90"/>
                <w10:wrap type="none" anchorx="text" anchory="text"/>
              </v:shape>
            </w:pict>
          </mc:Fallback>
        </mc:AlternateContent>
      </w:r>
    </w:p>
    <w:tbl>
      <w:tblPr>
        <w:tblW w:w="9352" w:type="dxa"/>
        <w:tblInd w:w="3" w:type="dxa"/>
        <w:tblLook w:val="0600" w:firstRow="0" w:lastRow="0" w:firstColumn="0" w:lastColumn="0" w:noHBand="1" w:noVBand="1"/>
      </w:tblPr>
      <w:tblGrid>
        <w:gridCol w:w="4676"/>
        <w:gridCol w:w="4676"/>
      </w:tblGrid>
      <w:tr w:rsidR="00AA4624"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AA4624" w:rsidRDefault="00DA5651">
            <w:pPr>
              <w:pStyle w:val="ab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трех тысяч рублей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AA4624" w:rsidRDefault="00DA5651">
            <w:pPr>
              <w:pStyle w:val="ab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Свыше трех тысяч рублей</w:t>
            </w:r>
          </w:p>
        </w:tc>
      </w:tr>
    </w:tbl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5" behindDoc="0" locked="0" layoutInCell="0" hidden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49530</wp:posOffset>
                </wp:positionV>
                <wp:extent cx="234950" cy="196850"/>
                <wp:effectExtent l="0" t="0" r="0" b="0"/>
                <wp:wrapNone/>
                <wp:docPr id="5" name="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oQAAAACgAAAAAAAAAAAAAAAAAAACAAAA/wcAAAAAAAACAAAATgAAAHIBAAA2AQAACAAAAKQOAAAyL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34950" cy="196850"/>
                        </a:xfrm>
                        <a:custGeom>
                          <a:avLst/>
                          <a:gdLst/>
                          <a:ahLst/>
                          <a:cxnLst/>
                          <a:rect l="0" t="0" r="234950" b="196850"/>
                          <a:pathLst>
                            <a:path w="234950" h="196850">
                              <a:moveTo>
                                <a:pt x="58413" y="0"/>
                              </a:moveTo>
                              <a:lnTo>
                                <a:pt x="58413" y="147293"/>
                              </a:lnTo>
                              <a:lnTo>
                                <a:pt x="0" y="147293"/>
                              </a:lnTo>
                              <a:lnTo>
                                <a:pt x="116826" y="196506"/>
                              </a:lnTo>
                              <a:lnTo>
                                <a:pt x="234301" y="147293"/>
                              </a:lnTo>
                              <a:lnTo>
                                <a:pt x="175239" y="147293"/>
                              </a:lnTo>
                              <a:lnTo>
                                <a:pt x="175239" y="0"/>
                              </a:lnTo>
                              <a:lnTo>
                                <a:pt x="58413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6" o:spid="_x0000_s1030" style="position:absolute;margin-left:102.35pt;margin-top:3.90pt;width:18.50pt;height:15.50pt;z-index:251658245;mso-wrap-distance-left:0.00pt;mso-wrap-distance-top:0.00pt;mso-wrap-distance-right:0.00pt;mso-wrap-distance-bottom:0.00pt;mso-wrap-style:square" coordsize="370,310" path="m92,0l92,232l0,232l184,309l369,232l276,232l276,0l92,0e" strokeweight="0.00pt" strokecolor="#3465a4" fillcolor="#729fcf" v:ext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oQAAAACgAAAAAAAAAAAAAAAAAAACAAAA/wcAAAAAAAACAAAATgAAAHIBAAA2AQAACAAAAKQOAAAyLAAAKAAAAAgAAAABAAAAAQAAAA==">
                <v:path arrowok="t"/>
                <v:fill color2="#000000" type="solid" angle="90"/>
                <w10:wrap type="none" anchorx="text" anchory="tex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6" behindDoc="0" locked="0" layoutInCell="0" hidden="0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40005</wp:posOffset>
                </wp:positionV>
                <wp:extent cx="243205" cy="169545"/>
                <wp:effectExtent l="0" t="0" r="0" b="0"/>
                <wp:wrapNone/>
                <wp:docPr id="6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oQAAAACgAAAAAAAAAAAAAAAAAAACAAAA+xoAAAAAAAACAAAAPwAAAH8BAAALAQAACAAAAKAhAAAjL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43205" cy="169545"/>
                        </a:xfrm>
                        <a:custGeom>
                          <a:avLst/>
                          <a:gdLst/>
                          <a:ahLst/>
                          <a:cxnLst/>
                          <a:rect l="0" t="0" r="243205" b="169545"/>
                          <a:pathLst>
                            <a:path w="243205" h="169545">
                              <a:moveTo>
                                <a:pt x="60639" y="0"/>
                              </a:moveTo>
                              <a:lnTo>
                                <a:pt x="60639" y="126797"/>
                              </a:lnTo>
                              <a:lnTo>
                                <a:pt x="0" y="126797"/>
                              </a:lnTo>
                              <a:lnTo>
                                <a:pt x="121279" y="169256"/>
                              </a:lnTo>
                              <a:lnTo>
                                <a:pt x="242559" y="126797"/>
                              </a:lnTo>
                              <a:lnTo>
                                <a:pt x="181919" y="126797"/>
                              </a:lnTo>
                              <a:lnTo>
                                <a:pt x="181919" y="0"/>
                              </a:lnTo>
                              <a:lnTo>
                                <a:pt x="60639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7" o:spid="_x0000_s1031" style="position:absolute;margin-left:345.35pt;margin-top:3.15pt;width:19.15pt;height:13.35pt;z-index:251658246;mso-wrap-distance-left:0.00pt;mso-wrap-distance-top:0.00pt;mso-wrap-distance-right:0.00pt;mso-wrap-distance-bottom:0.00pt;mso-wrap-style:square" coordsize="383,267" path="m96,0l96,200l0,200l191,267l382,200l286,200l286,0l96,0e" strokeweight="0.00pt" strokecolor="#3465a4" fillcolor="#729fcf" v:ext="SMDATA_12_pzYDXhMAAAAlAAAACwAAAA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oQAAAACgAAAAAAAAAAAAAAAAAAACAAAA+xoAAAAAAAACAAAAPwAAAH8BAAALAQAACAAAAKAhAAAjLAAAKAAAAAgAAAABAAAAAQAAAA==">
                <v:path arrowok="t"/>
                <v:fill color2="#000000" type="solid" angle="90"/>
                <w10:wrap type="none" anchorx="text" anchory="text"/>
              </v:shape>
            </w:pict>
          </mc:Fallback>
        </mc:AlternateContent>
      </w:r>
    </w:p>
    <w:tbl>
      <w:tblPr>
        <w:tblW w:w="9352" w:type="dxa"/>
        <w:tblInd w:w="3" w:type="dxa"/>
        <w:tblLook w:val="0600" w:firstRow="0" w:lastRow="0" w:firstColumn="0" w:lastColumn="0" w:noHBand="1" w:noVBand="1"/>
      </w:tblPr>
      <w:tblGrid>
        <w:gridCol w:w="4676"/>
        <w:gridCol w:w="4676"/>
      </w:tblGrid>
      <w:tr w:rsidR="00AA4624"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AA4624" w:rsidRDefault="00DA5651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Подарок возвращается сдавшему его лицу по акту приема-передачи (за исключением лиц, замещающих гос. 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мун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должность)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AA4624" w:rsidRDefault="00DA5651">
            <w:pPr>
              <w:pStyle w:val="ab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Подарок включается в реестр федерального имущества или соответствующий реестр субъекта Российской Федерации (реестр муниципального образования).</w:t>
            </w:r>
          </w:p>
        </w:tc>
      </w:tr>
    </w:tbl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7" behindDoc="0" locked="0" layoutInCell="0" hidden="0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41910</wp:posOffset>
                </wp:positionV>
                <wp:extent cx="233680" cy="184150"/>
                <wp:effectExtent l="0" t="0" r="0" b="0"/>
                <wp:wrapNone/>
                <wp:docPr id="7" name="Фи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pzYDXhMAAAAlAAAACwAAAE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owAAAACgAAAAAAAAAAAAAAAAAAACAAAAsBoAAAAAAAACAAAAQgAAAHABAAAiAQAACAAAAFUhAAAwN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33680" cy="184150"/>
                        </a:xfrm>
                        <a:custGeom>
                          <a:avLst/>
                          <a:gdLst/>
                          <a:ahLst/>
                          <a:cxnLst/>
                          <a:rect l="0" t="0" r="233680" b="184150"/>
                          <a:pathLst>
                            <a:path w="233680" h="184150">
                              <a:moveTo>
                                <a:pt x="58097" y="0"/>
                              </a:moveTo>
                              <a:lnTo>
                                <a:pt x="58097" y="137547"/>
                              </a:lnTo>
                              <a:lnTo>
                                <a:pt x="0" y="137547"/>
                              </a:lnTo>
                              <a:lnTo>
                                <a:pt x="116194" y="183698"/>
                              </a:lnTo>
                              <a:lnTo>
                                <a:pt x="233034" y="137547"/>
                              </a:lnTo>
                              <a:lnTo>
                                <a:pt x="174292" y="137547"/>
                              </a:lnTo>
                              <a:lnTo>
                                <a:pt x="174292" y="0"/>
                              </a:lnTo>
                              <a:lnTo>
                                <a:pt x="58097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8" o:spid="_x0000_s1032" style="position:absolute;margin-left:341.60pt;margin-top:3.30pt;width:18.40pt;height:14.50pt;z-index:251658247;mso-wrap-distance-left:0.00pt;mso-wrap-distance-top:0.00pt;mso-wrap-distance-right:0.00pt;mso-wrap-distance-bottom:0.00pt;mso-wrap-style:square" coordsize="368,290" path="m91,0l91,217l0,217l183,289l367,217l274,217l274,0l91,0e" strokeweight="0.00pt" strokecolor="#3465a4" fillcolor="#729fcf" v:ext="SMDATA_12_pzYDXhMAAAAlAAAACwAAAE0AAAAAkAAAAEgAAACQAAAASAAAAAAAAAAAAAAAAAAAAAEAAABQAAAAAAAAAAAA4D8AAAAAAADgPwAAAAAAAOA/AAAAAAAA4D8AAAAAAADgPwAAAAAAAOA/AAAAAAAA4D8AAAAAAADgPwAAAAAAAOA/AAAAAAAA4D8CAAAAjAAAAAEAAAAAAAAAcp/PAAAAAAAAAAAAAAAAAAAAAAAAAAAAAAAAAAAAAAAAAAAAZAAAAAEAAABAAAAAAAAAAAAAAAAAAAAAAAAAAAAAAAAAAAAAAAAAAAAAAAAAAAAAAAAAAAAAAAAAAAAAAAAAAAAAAAAAAAAAAAAAAAAAAAAAAAAAAAAAAAAAAAAAAAAAFAAAADwAAAABAAAAAAAAADRlp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owAAAACgAAAAAAAAAAAAAAAAAAACAAAAsBoAAAAAAAACAAAAQgAAAHABAAAiAQAACAAAAFUhAAAwNAAAKAAAAAgAAAABAAAAAQAAAA==">
                <v:path arrowok="t"/>
                <v:fill color2="#000000" type="solid" angle="90"/>
                <w10:wrap type="none" anchorx="text" anchory="text"/>
              </v:shape>
            </w:pict>
          </mc:Fallback>
        </mc:AlternateContent>
      </w:r>
    </w:p>
    <w:tbl>
      <w:tblPr>
        <w:tblW w:w="5461" w:type="dxa"/>
        <w:jc w:val="right"/>
        <w:tblLook w:val="0600" w:firstRow="0" w:lastRow="0" w:firstColumn="0" w:lastColumn="0" w:noHBand="1" w:noVBand="1"/>
      </w:tblPr>
      <w:tblGrid>
        <w:gridCol w:w="5461"/>
      </w:tblGrid>
      <w:tr w:rsidR="00AA4624">
        <w:trPr>
          <w:jc w:val="right"/>
        </w:trPr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7" w:type="dxa"/>
              <w:bottom w:w="55" w:type="dxa"/>
              <w:right w:w="55" w:type="dxa"/>
            </w:tcMar>
          </w:tcPr>
          <w:p w:rsidR="00AA4624" w:rsidRDefault="00DA5651">
            <w:pPr>
              <w:pStyle w:val="ab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Лицо, сдавшее подарок может его выкупить, направив на имя представителя нанимателя (работодателя)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соответствующее заявление не позднее двух месяцев со дня сдачи подарка.</w:t>
            </w:r>
          </w:p>
        </w:tc>
      </w:tr>
    </w:tbl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lastRenderedPageBreak/>
        <w:t xml:space="preserve">Под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конфликтом интересов</w:t>
      </w:r>
      <w:r>
        <w:rPr>
          <w:rFonts w:ascii="PT Astra Serif" w:hAnsi="PT Astra Serif" w:cs="Candara,Bold"/>
          <w:b/>
          <w:bCs/>
          <w:color w:val="2E74B6"/>
          <w:sz w:val="28"/>
          <w:szCs w:val="28"/>
        </w:rPr>
        <w:t xml:space="preserve"> </w:t>
      </w:r>
      <w:r>
        <w:rPr>
          <w:rFonts w:ascii="PT Astra Serif" w:hAnsi="PT Astra Serif" w:cs="Candara"/>
          <w:color w:val="000000"/>
          <w:sz w:val="28"/>
          <w:szCs w:val="28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__DdeLink__2919_2379096971"/>
      <w:bookmarkEnd w:id="1"/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На кого распространяется запрет н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а получение подарков?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Законодательством Российской Федерации определен следующий субъектный состав лиц, на которых распространяется его действие: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1) лица, замещающие государственные должности Курской области, муниципальные должности;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2) государственные и </w:t>
      </w:r>
      <w:r>
        <w:rPr>
          <w:rFonts w:ascii="PT Astra Serif" w:hAnsi="PT Astra Serif" w:cs="Candara"/>
          <w:color w:val="000000"/>
          <w:sz w:val="28"/>
          <w:szCs w:val="28"/>
        </w:rPr>
        <w:t>муниципальные служащие;</w:t>
      </w:r>
    </w:p>
    <w:p w:rsidR="00AA4624" w:rsidRDefault="00DA5651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3) иные лица</w:t>
      </w:r>
      <w:bookmarkStart w:id="2" w:name="__DdeLink__326_3951557625"/>
      <w:bookmarkEnd w:id="2"/>
      <w:r>
        <w:rPr>
          <w:rFonts w:ascii="PT Astra Serif" w:hAnsi="PT Astra Serif" w:cs="Candara"/>
          <w:color w:val="000000"/>
          <w:sz w:val="28"/>
          <w:szCs w:val="28"/>
        </w:rPr>
        <w:t>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Wingdings"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Не влечет обязанности по уведомлению </w:t>
      </w:r>
      <w:r>
        <w:rPr>
          <w:rFonts w:ascii="PT Astra Serif" w:hAnsi="PT Astra Serif" w:cs="Candara"/>
          <w:color w:val="000000"/>
          <w:sz w:val="28"/>
          <w:szCs w:val="28"/>
        </w:rPr>
        <w:t>получение подарков, не связанных с должностным положением государственного (муниципального) служащего или исполнением им служебных обязанностей (подарки от родственников и иных бли</w:t>
      </w:r>
      <w:r>
        <w:rPr>
          <w:rFonts w:ascii="PT Astra Serif" w:hAnsi="PT Astra Serif" w:cs="Candara"/>
          <w:color w:val="000000"/>
          <w:sz w:val="28"/>
          <w:szCs w:val="28"/>
        </w:rPr>
        <w:t>зких лиц, которые при этом одновременно не являются лицами, в отношении которых государственный (муниципальный) служащий прямо либо косвенно осуществляет функции управления, контроля или надзора, включая лиц, которые имеют или могут иметь личную заинтересо</w:t>
      </w:r>
      <w:r>
        <w:rPr>
          <w:rFonts w:ascii="PT Astra Serif" w:hAnsi="PT Astra Serif" w:cs="Candara"/>
          <w:color w:val="000000"/>
          <w:sz w:val="28"/>
          <w:szCs w:val="28"/>
        </w:rPr>
        <w:t>ванность в использовании государственным (муниципальным) служащим своего служебного положения и статуса для предоставления таким лицам необоснованных преимуществ, в том числе нематериального характера).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Вместе с тем получение крупных (дорогостоящих) подарк</w:t>
      </w:r>
      <w:r>
        <w:rPr>
          <w:rFonts w:ascii="PT Astra Serif" w:hAnsi="PT Astra Serif" w:cs="Candara"/>
          <w:color w:val="000000"/>
          <w:sz w:val="28"/>
          <w:szCs w:val="28"/>
        </w:rPr>
        <w:t>ов может в последующем рассматриваться как наличие имущественных (финансовых) отношений одаряемого с дарителем. Указанное обстоятельство может быть значимо для установления вероятного конфликта интересов.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Особенности правового регулирования получения пода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рков в организациях</w:t>
      </w:r>
    </w:p>
    <w:p w:rsidR="00AA4624" w:rsidRDefault="00AA4624">
      <w:pPr>
        <w:spacing w:after="0" w:line="240" w:lineRule="auto"/>
        <w:ind w:firstLine="709"/>
        <w:jc w:val="center"/>
        <w:rPr>
          <w:rFonts w:ascii="PT Astra Serif" w:hAnsi="PT Astra Serif" w:cs="Candara,Bold"/>
          <w:b/>
          <w:bCs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Федеральный закон «О противодействии коррупции» распространяет ряд антикоррупционных правовых механизмов не только на государственных служащих, но и на должностных лиц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организаций.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При этом законодатель исходит из того, что правовое по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ложение должностных лиц соответствующих организаций сопряжено с повышенными коррупционными рисками, которые предопределены такими особенностями их правового статуса как: формирование имущества за счет государственного органа субъекта Российской Федерации, </w:t>
      </w:r>
      <w:r>
        <w:rPr>
          <w:rFonts w:ascii="PT Astra Serif" w:hAnsi="PT Astra Serif" w:cs="Candara"/>
          <w:color w:val="000000"/>
          <w:sz w:val="28"/>
          <w:szCs w:val="28"/>
        </w:rPr>
        <w:t>наделение помимо общегражданских прав и обязанностей целым рядом публично-правовых полномочий, реализация которых затрагивает значительную часть населения региона.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Данные организации обладают рядом особенностей и разнообразным правовым статусом.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Правовой с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татус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организаций, создаваемых на основании законов субъекта Российской Федерации, </w:t>
      </w:r>
      <w:r>
        <w:rPr>
          <w:rFonts w:ascii="PT Astra Serif" w:hAnsi="PT Astra Serif" w:cs="Candara"/>
          <w:color w:val="000000"/>
          <w:sz w:val="28"/>
          <w:szCs w:val="28"/>
        </w:rPr>
        <w:t>индивидуален, поскольку регулируется законом, в силу которого данное юридическое лицо образовано.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Особенности антикоррупционных стандартов должны быть направлены на решение 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двух основных задач: 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1) ограничить круг возможных действий работника, которые могут привести к его попаданию в ситуацию конфликта интересов (например, получение подарка или предложения о работе по совместительству от организации-конкурента могут в дальнейшем побудить работника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совершить те или иные действия в пользу такой организации, идущие вразрез с его трудовыми обязанностями;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в такую этически спорную ситуацию); 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2) затруднить осуществление или сокрытие уже имевших место коррупционных правонарушений.</w:t>
      </w:r>
    </w:p>
    <w:p w:rsidR="00AA4624" w:rsidRDefault="00DA5651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Следует иметь в виду, что антикоррупционные стандарты имеют более широкий спектр действия, чем регулирование вопросов, связанных </w:t>
      </w:r>
      <w:r>
        <w:rPr>
          <w:rFonts w:ascii="PT Astra Serif" w:hAnsi="PT Astra Serif"/>
          <w:color w:val="000000"/>
          <w:sz w:val="28"/>
          <w:szCs w:val="28"/>
        </w:rPr>
        <w:t>непосредственно с недопустимостью совершения коррупционных правонарушений. В данные стандарты следует включить положения, устанавливающие ряд правил (порядков) поведения работников, затрагивающих общую этику деловых отношений и направленных на формирование</w:t>
      </w:r>
      <w:r>
        <w:rPr>
          <w:rFonts w:ascii="PT Astra Serif" w:hAnsi="PT Astra Serif"/>
          <w:color w:val="000000"/>
          <w:sz w:val="28"/>
          <w:szCs w:val="28"/>
        </w:rPr>
        <w:t xml:space="preserve"> этичного, добросовестного поведения работников и организации в целом. </w:t>
      </w:r>
    </w:p>
    <w:p w:rsidR="00AA4624" w:rsidRDefault="00DA5651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Получение подарка делает работника в определенной степени обязанным дарителю; в связи с этим подарки часто используются для поддержания неформальных, в том числе коррупционных отношени</w:t>
      </w:r>
      <w:r>
        <w:rPr>
          <w:rFonts w:ascii="PT Astra Serif" w:hAnsi="PT Astra Serif"/>
          <w:color w:val="000000"/>
          <w:sz w:val="28"/>
          <w:szCs w:val="28"/>
        </w:rPr>
        <w:t>й.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подкуп. Устанавливая антикоррупционные стандарты в данной сфере, рекомендуется уделить внимание к</w:t>
      </w:r>
      <w:r>
        <w:rPr>
          <w:rFonts w:ascii="PT Astra Serif" w:hAnsi="PT Astra Serif"/>
          <w:color w:val="000000"/>
          <w:sz w:val="28"/>
          <w:szCs w:val="28"/>
        </w:rPr>
        <w:t>ак получению подарков сотрудниками организаций, так и дарению подарков от имени организации. В первом случае получение работником организации подарка от лица, в отношении которого он наделен теми или иными управленческими или распределительными полномочиям</w:t>
      </w:r>
      <w:r>
        <w:rPr>
          <w:rFonts w:ascii="PT Astra Serif" w:hAnsi="PT Astra Serif"/>
          <w:color w:val="000000"/>
          <w:sz w:val="28"/>
          <w:szCs w:val="28"/>
        </w:rPr>
        <w:t>и, а также от иных заинтересованных сторон (например, от конкурентов) может послужить причиной отступления им от объективного и беспристрастного исполнения своих трудовых обязанностей. Подарок также может быть «оплатой» за уже совершенные работником неправ</w:t>
      </w:r>
      <w:r>
        <w:rPr>
          <w:rFonts w:ascii="PT Astra Serif" w:hAnsi="PT Astra Serif"/>
          <w:color w:val="000000"/>
          <w:sz w:val="28"/>
          <w:szCs w:val="28"/>
        </w:rPr>
        <w:t xml:space="preserve">омерные действия. </w:t>
      </w:r>
    </w:p>
    <w:p w:rsidR="00AA4624" w:rsidRDefault="00DA5651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этой связи особенно жесткие антикоррупционные стандарты должны быть установлены в части дарения подарков тем категориям лиц, для которых установлены законодательные запреты и ограничения на получение подарков: лиц, замещающих государст</w:t>
      </w:r>
      <w:r>
        <w:rPr>
          <w:rFonts w:ascii="PT Astra Serif" w:hAnsi="PT Astra Serif"/>
          <w:color w:val="000000"/>
          <w:sz w:val="28"/>
          <w:szCs w:val="28"/>
        </w:rPr>
        <w:t xml:space="preserve">венные и муниципальные должности,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государственных и муниципальных служащих, работников отдельных категорий организаций. </w:t>
      </w:r>
    </w:p>
    <w:p w:rsidR="00AA4624" w:rsidRDefault="00DA5651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Кроме регулирования вопросов дарения и получения подарков, организации следует обратить внимание на регулирование представительских рас</w:t>
      </w:r>
      <w:r>
        <w:rPr>
          <w:rFonts w:ascii="PT Astra Serif" w:hAnsi="PT Astra Serif"/>
          <w:color w:val="000000"/>
          <w:sz w:val="28"/>
          <w:szCs w:val="28"/>
        </w:rPr>
        <w:t xml:space="preserve">ходов, используемых на оплату деловых поездок, проведение конференций, иных мероприятий, оплату питания, проживания, развлечения деловых партнеров. Следует иметь в виду, что такие расходы также могут использоваться в качестве «прикрытия» для коррупционных </w:t>
      </w:r>
      <w:r>
        <w:rPr>
          <w:rFonts w:ascii="PT Astra Serif" w:hAnsi="PT Astra Serif"/>
          <w:color w:val="000000"/>
          <w:sz w:val="28"/>
          <w:szCs w:val="28"/>
        </w:rPr>
        <w:t xml:space="preserve">платежей, в связи с чем организации рекомендуется предусмотреть: </w:t>
      </w:r>
    </w:p>
    <w:p w:rsidR="00AA4624" w:rsidRDefault="00DA5651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условия получения сотрудниками средств для оплаты такого рода расходов, например, необходимость согласования их получения с антикоррупционным подразделением;</w:t>
      </w:r>
    </w:p>
    <w:p w:rsidR="00AA4624" w:rsidRDefault="00DA5651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механизмы последующего контр</w:t>
      </w:r>
      <w:r>
        <w:rPr>
          <w:rFonts w:ascii="PT Astra Serif" w:hAnsi="PT Astra Serif"/>
          <w:color w:val="000000"/>
          <w:sz w:val="28"/>
          <w:szCs w:val="28"/>
        </w:rPr>
        <w:t xml:space="preserve">оля использования таких расходов в соответствии с заявленными целями. </w:t>
      </w:r>
    </w:p>
    <w:p w:rsidR="00AA4624" w:rsidRDefault="00DA5651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Одновременно в локальных нормативных актах организации, например, в антикоррупционной политике организации, следует установить прямой запрет на получение и дачу подарков. При этом следу</w:t>
      </w:r>
      <w:r>
        <w:rPr>
          <w:rFonts w:ascii="PT Astra Serif" w:hAnsi="PT Astra Serif"/>
          <w:color w:val="000000"/>
          <w:sz w:val="28"/>
          <w:szCs w:val="28"/>
        </w:rPr>
        <w:t>ет обратить внимание на то, что, хотя в Уголовном кодексе Российской Федерации взяткой признается только непосредственно передача денежных средств, иных ценностей взяткополучателю, в ряде зарубежных стран взяткой будет считаться также предложение, обещание</w:t>
      </w:r>
      <w:r>
        <w:rPr>
          <w:rFonts w:ascii="PT Astra Serif" w:hAnsi="PT Astra Serif"/>
          <w:color w:val="000000"/>
          <w:sz w:val="28"/>
          <w:szCs w:val="28"/>
        </w:rPr>
        <w:t xml:space="preserve">, одобрение взятки, а также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испрашивание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и согласие на получение взятки. В этой связи организациями, в первую очередь ведущим внешнеэкономическую деятельность или имеющим зарубежных контрагентов, рекомендуется предусматривать запрет на все указанные неправ</w:t>
      </w:r>
      <w:r>
        <w:rPr>
          <w:rFonts w:ascii="PT Astra Serif" w:hAnsi="PT Astra Serif"/>
          <w:color w:val="000000"/>
          <w:sz w:val="28"/>
          <w:szCs w:val="28"/>
        </w:rPr>
        <w:t xml:space="preserve">омерные действия. </w:t>
      </w:r>
    </w:p>
    <w:p w:rsidR="00AA4624" w:rsidRDefault="00AA4624">
      <w:pPr>
        <w:suppressAutoHyphens/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color w:val="2E74B6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ПРАКТИКА ПРАВОПРИМЕНЕНИЯ</w:t>
      </w:r>
    </w:p>
    <w:p w:rsidR="00AA4624" w:rsidRDefault="00AA4624">
      <w:pPr>
        <w:spacing w:after="0" w:line="240" w:lineRule="auto"/>
        <w:ind w:firstLine="709"/>
        <w:jc w:val="center"/>
        <w:rPr>
          <w:rFonts w:cs="Candara,Bold"/>
          <w:b/>
          <w:bCs/>
          <w:color w:val="000000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В каждом органе государственной власти субъекта Российской Федерации и органе местного самоуправления, организациях, созданных для выполнения задач, поставленных перед органами государственной власти субъекта Российской Федерации, 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рекомендовано разработать</w:t>
      </w: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 xml:space="preserve"> и утвердить </w:t>
      </w:r>
      <w:r>
        <w:rPr>
          <w:rFonts w:ascii="PT Astra Serif" w:hAnsi="PT Astra Serif" w:cs="Candara"/>
          <w:color w:val="000000"/>
          <w:sz w:val="28"/>
          <w:szCs w:val="28"/>
        </w:rPr>
        <w:t>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</w:t>
      </w:r>
      <w:r>
        <w:rPr>
          <w:rFonts w:ascii="PT Astra Serif" w:hAnsi="PT Astra Serif" w:cs="Candara"/>
          <w:color w:val="000000"/>
          <w:sz w:val="28"/>
          <w:szCs w:val="28"/>
        </w:rPr>
        <w:t>изации (выкупа).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Например, Постановлением Губернатора Курской области от 30 апреля 2014 г. № 204-пг утвержден Порядок сообщения отдельными категориями лиц о получении подарка в связи с протокольными мероприятиями, служебными командировками и другими официа</w:t>
      </w:r>
      <w:r>
        <w:rPr>
          <w:rFonts w:ascii="PT Astra Serif" w:hAnsi="PT Astra Serif" w:cs="Candara"/>
          <w:color w:val="000000"/>
          <w:sz w:val="28"/>
          <w:szCs w:val="28"/>
        </w:rPr>
        <w:t>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Указанный Порядок определяет правила сообщения Губернато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ром Курской области, иными лицами, замещающими государственные должности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Курской области в исполнительных органах государственной власти Курской области, государственными гражданскими служащими Курской области, замещающими должности государственной граждан</w:t>
      </w:r>
      <w:r>
        <w:rPr>
          <w:rFonts w:ascii="PT Astra Serif" w:hAnsi="PT Astra Serif" w:cs="Candara"/>
          <w:color w:val="000000"/>
          <w:sz w:val="28"/>
          <w:szCs w:val="28"/>
        </w:rPr>
        <w:t>ской службы Курской области в Администрации Курской области, и лицами, замещающими должности руководителей и заместителей руководителей исполнительных органов государственной власти Курской области, назначение на которые и освобождение от которых осуществл</w:t>
      </w:r>
      <w:r>
        <w:rPr>
          <w:rFonts w:ascii="PT Astra Serif" w:hAnsi="PT Astra Serif" w:cs="Candara"/>
          <w:color w:val="000000"/>
          <w:sz w:val="28"/>
          <w:szCs w:val="28"/>
        </w:rPr>
        <w:t>яются Губернатором Курской области (далее - лица, замещающие государственные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rFonts w:ascii="PT Astra Serif" w:hAnsi="PT Astra Serif" w:cs="Candara"/>
          <w:color w:val="000000"/>
          <w:sz w:val="28"/>
          <w:szCs w:val="28"/>
        </w:rPr>
        <w:t>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,Bold"/>
          <w:b/>
          <w:bCs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center"/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ОТВЕТСТВЕННОСТЬ</w:t>
      </w:r>
    </w:p>
    <w:p w:rsidR="00AA4624" w:rsidRDefault="00DA5651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Candara,Bold"/>
          <w:b/>
          <w:bCs/>
          <w:color w:val="000000"/>
          <w:sz w:val="28"/>
          <w:szCs w:val="28"/>
        </w:rPr>
        <w:t>Подарок может расцениваться как взятка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Граждане Российской Федерации,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случае, если от имени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</w:t>
      </w:r>
      <w:r>
        <w:rPr>
          <w:rFonts w:ascii="PT Astra Serif" w:hAnsi="PT Astra Serif" w:cs="Candara"/>
          <w:color w:val="000000"/>
          <w:sz w:val="28"/>
          <w:szCs w:val="28"/>
        </w:rPr>
        <w:t>ости в соответствии с законодательством Российской Федерации.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В случае поступления информации о несоблюдении государственным или муниципальным служащим (работником организации) запрета на получение подарков, ее проверка проводится в порядке, предусмотренно</w:t>
      </w:r>
      <w:r>
        <w:rPr>
          <w:rFonts w:ascii="PT Astra Serif" w:hAnsi="PT Astra Serif" w:cs="Candara"/>
          <w:color w:val="000000"/>
          <w:sz w:val="28"/>
          <w:szCs w:val="28"/>
        </w:rPr>
        <w:t>м Указами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облюдения федеральными государственными служащими требований к служебному поведению»,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</w:t>
      </w:r>
      <w:r>
        <w:rPr>
          <w:rFonts w:ascii="PT Astra Serif" w:hAnsi="PT Astra Serif" w:cs="Candara"/>
          <w:color w:val="000000"/>
          <w:sz w:val="28"/>
          <w:szCs w:val="28"/>
        </w:rPr>
        <w:t>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и принятыми на основании вышеприведенных указов Президента Российской Федерации правовых акто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в, например постановлением Губернатора Курской области от 14.12.2009 № 400 «О проверке достоверности и полноты сведений, представляемых гражданами, претендующими на замещение должностей государственной гражданской </w:t>
      </w:r>
      <w:r>
        <w:rPr>
          <w:rFonts w:ascii="PT Astra Serif" w:hAnsi="PT Astra Serif" w:cs="Candara"/>
          <w:color w:val="000000"/>
          <w:sz w:val="28"/>
          <w:szCs w:val="28"/>
        </w:rPr>
        <w:lastRenderedPageBreak/>
        <w:t>службы Курской области, и государственными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 гражданскими служащими Курской области, и соблюдения государственными гражданскими служащими Курской области требований к служебному поведению», постановлением Губернатора Курской области от 14.12.2009            № 401 «О проверке достоверности и полноты </w:t>
      </w:r>
      <w:r>
        <w:rPr>
          <w:rFonts w:ascii="PT Astra Serif" w:hAnsi="PT Astra Serif" w:cs="Candara"/>
          <w:color w:val="000000"/>
          <w:sz w:val="28"/>
          <w:szCs w:val="28"/>
        </w:rPr>
        <w:t>сведений, представляемых гражданами, претендующими на замещение государственных должностей Курской области в исполнительных органах государственной власти Курской области, и лицами, замещающими государственные должности Курской области в исполнительных орг</w:t>
      </w:r>
      <w:r>
        <w:rPr>
          <w:rFonts w:ascii="PT Astra Serif" w:hAnsi="PT Astra Serif" w:cs="Candara"/>
          <w:color w:val="000000"/>
          <w:sz w:val="28"/>
          <w:szCs w:val="28"/>
        </w:rPr>
        <w:t>анах государственной власти Курской области, и соблюдении ограничений лицами, замещающими государственные должности Курской области в исполнительных органах государственной власти Курской области» и Законом Курской области от 13.06.2007                № 60</w:t>
      </w:r>
      <w:r>
        <w:rPr>
          <w:rFonts w:ascii="PT Astra Serif" w:hAnsi="PT Astra Serif" w:cs="Candara"/>
          <w:color w:val="000000"/>
          <w:sz w:val="28"/>
          <w:szCs w:val="28"/>
        </w:rPr>
        <w:t>-ЗКО «О муниципальной службе в Курской области».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Так, например, взыскания налагаются на гражданского служаще</w:t>
      </w:r>
      <w:r>
        <w:rPr>
          <w:rFonts w:ascii="PT Astra Serif" w:hAnsi="PT Astra Serif" w:cs="Candara"/>
          <w:color w:val="000000"/>
          <w:sz w:val="28"/>
          <w:szCs w:val="28"/>
        </w:rPr>
        <w:t>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</w:t>
      </w:r>
      <w:r>
        <w:rPr>
          <w:rFonts w:ascii="PT Astra Serif" w:hAnsi="PT Astra Serif" w:cs="Candara"/>
          <w:color w:val="000000"/>
          <w:sz w:val="28"/>
          <w:szCs w:val="28"/>
        </w:rPr>
        <w:t>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и на основании рекомендации указанной комис</w:t>
      </w:r>
      <w:r>
        <w:rPr>
          <w:rFonts w:ascii="PT Astra Serif" w:hAnsi="PT Astra Serif" w:cs="Candara"/>
          <w:color w:val="000000"/>
          <w:sz w:val="28"/>
          <w:szCs w:val="28"/>
        </w:rPr>
        <w:t>сии.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 xml:space="preserve">С согласия гражданского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</w:t>
      </w:r>
      <w:r>
        <w:rPr>
          <w:rFonts w:ascii="PT Astra Serif" w:hAnsi="PT Astra Serif" w:cs="Candara"/>
          <w:color w:val="000000"/>
          <w:sz w:val="28"/>
          <w:szCs w:val="28"/>
        </w:rPr>
        <w:t>соответствующего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гражданского служащего.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</w:t>
      </w:r>
      <w:r>
        <w:rPr>
          <w:rFonts w:ascii="PT Astra Serif" w:hAnsi="PT Astra Serif" w:cs="Candara"/>
          <w:color w:val="000000"/>
          <w:sz w:val="28"/>
          <w:szCs w:val="28"/>
        </w:rPr>
        <w:t>еральным законом «О противодействии коррупции» и другими федеральными законами, налагаются следующие взыскания: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замечание,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выговор,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- предупреждение о неполном должностном соответствии.</w:t>
      </w:r>
    </w:p>
    <w:p w:rsidR="00AA4624" w:rsidRDefault="00DA56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ndara"/>
          <w:color w:val="000000"/>
          <w:sz w:val="28"/>
          <w:szCs w:val="28"/>
        </w:rPr>
        <w:t>Кроме того, частью 1 статьи 59.2 Федерального закона «О государств</w:t>
      </w:r>
      <w:r>
        <w:rPr>
          <w:rFonts w:ascii="PT Astra Serif" w:hAnsi="PT Astra Serif" w:cs="Candara"/>
          <w:color w:val="000000"/>
          <w:sz w:val="28"/>
          <w:szCs w:val="28"/>
        </w:rPr>
        <w:t>енной гражданской службе» предусмотрен особый вид дисциплинарной ответственности – увольнение в связи с утратой доверия.</w:t>
      </w:r>
    </w:p>
    <w:p w:rsidR="00AA4624" w:rsidRDefault="00AA4624">
      <w:pPr>
        <w:spacing w:after="0" w:line="240" w:lineRule="auto"/>
        <w:ind w:firstLine="709"/>
        <w:jc w:val="both"/>
        <w:rPr>
          <w:rFonts w:ascii="PT Astra Serif" w:hAnsi="PT Astra Serif" w:cs="Candara"/>
          <w:color w:val="000000"/>
          <w:sz w:val="28"/>
          <w:szCs w:val="28"/>
        </w:rPr>
      </w:pPr>
    </w:p>
    <w:p w:rsidR="00AA4624" w:rsidRDefault="00DA5651">
      <w:pPr>
        <w:spacing w:after="0" w:line="240" w:lineRule="auto"/>
        <w:ind w:firstLine="709"/>
        <w:jc w:val="both"/>
      </w:pPr>
      <w:r>
        <w:rPr>
          <w:rFonts w:ascii="PT Astra Serif" w:hAnsi="PT Astra Serif" w:cs="Candara"/>
          <w:color w:val="000000"/>
          <w:sz w:val="28"/>
          <w:szCs w:val="28"/>
        </w:rPr>
        <w:t>Статьей 19.28 Кодекса Российской Федерации об административных правонарушениях («Незаконное вознаграждение от имени юридического лица»</w:t>
      </w:r>
      <w:r>
        <w:rPr>
          <w:rFonts w:ascii="PT Astra Serif" w:hAnsi="PT Astra Serif" w:cs="Candara"/>
          <w:color w:val="000000"/>
          <w:sz w:val="28"/>
          <w:szCs w:val="28"/>
        </w:rPr>
        <w:t xml:space="preserve">) для юридических лиц установлена административная ответственность за незаконные передачу,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</w:t>
      </w:r>
      <w:r>
        <w:rPr>
          <w:rFonts w:ascii="PT Astra Serif" w:hAnsi="PT Astra Serif" w:cs="Candara"/>
          <w:color w:val="000000"/>
          <w:sz w:val="28"/>
          <w:szCs w:val="28"/>
        </w:rPr>
        <w:t>действия (бездействие), связанного с занимаемым служебным положением. Размер административного штрафа может составлять до стократной суммы денежных средств, стоимости ценных бумаг, иного имущества, услуг имущественного характера, иных имущественных прав, н</w:t>
      </w:r>
      <w:r>
        <w:rPr>
          <w:rFonts w:ascii="PT Astra Serif" w:hAnsi="PT Astra Serif" w:cs="Candara"/>
          <w:color w:val="000000"/>
          <w:sz w:val="28"/>
          <w:szCs w:val="28"/>
        </w:rPr>
        <w:t>езаконно переданных или оказанных либо обещанных или предложенных от имени юридического лица с конфискацией денег, ценных бумаг, иного имущества или стоимости услуг имущественного характера, иных имущественных прав.</w:t>
      </w:r>
    </w:p>
    <w:sectPr w:rsidR="00AA4624">
      <w:headerReference w:type="default" r:id="rId6"/>
      <w:endnotePr>
        <w:numFmt w:val="decimal"/>
      </w:endnotePr>
      <w:pgSz w:w="11906" w:h="16838"/>
      <w:pgMar w:top="1221" w:right="850" w:bottom="1052" w:left="1701" w:header="6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5651">
      <w:pPr>
        <w:spacing w:after="0" w:line="240" w:lineRule="auto"/>
      </w:pPr>
      <w:r>
        <w:separator/>
      </w:r>
    </w:p>
  </w:endnote>
  <w:endnote w:type="continuationSeparator" w:id="0">
    <w:p w:rsidR="00000000" w:rsidRDefault="00D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imes New Roman,Bold">
    <w:charset w:val="00"/>
    <w:family w:val="auto"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ndara,Bold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,Itali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5651">
      <w:pPr>
        <w:spacing w:after="0" w:line="240" w:lineRule="auto"/>
      </w:pPr>
      <w:r>
        <w:separator/>
      </w:r>
    </w:p>
  </w:footnote>
  <w:footnote w:type="continuationSeparator" w:id="0">
    <w:p w:rsidR="00000000" w:rsidRDefault="00D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24" w:rsidRDefault="00AA4624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24"/>
    <w:rsid w:val="00AA4624"/>
    <w:rsid w:val="00D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8A541-5BC5-4270-A65E-02926290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qFormat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колонтитул слева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table of figures"/>
    <w:basedOn w:val="a6"/>
    <w:qFormat/>
  </w:style>
  <w:style w:type="paragraph" w:customStyle="1" w:styleId="ad">
    <w:name w:val="Содержимое врезки"/>
    <w:basedOn w:val="a"/>
    <w:qFormat/>
  </w:style>
  <w:style w:type="character" w:customStyle="1" w:styleId="22">
    <w:name w:val="Основной текст (2)2"/>
    <w:basedOn w:val="a0"/>
    <w:rPr>
      <w:b/>
      <w:bCs/>
      <w:sz w:val="19"/>
      <w:szCs w:val="19"/>
    </w:rPr>
  </w:style>
  <w:style w:type="paragraph" w:styleId="ae">
    <w:name w:val="Balloon Text"/>
    <w:basedOn w:val="a"/>
    <w:link w:val="af"/>
    <w:uiPriority w:val="99"/>
    <w:rsid w:val="00DA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DA5651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273-ФЗ(ред. от 26.07.2019)"О противодействии коррупции"</vt:lpstr>
    </vt:vector>
  </TitlesOfParts>
  <Company/>
  <LinksUpToDate>false</LinksUpToDate>
  <CharactersWithSpaces>28904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26.07.2019)"О противодействии коррупции"</dc:title>
  <dc:subject/>
  <dc:creator>Ишунин Андрей Геннадьевич</dc:creator>
  <cp:keywords/>
  <dc:description/>
  <cp:lastModifiedBy>220ud1</cp:lastModifiedBy>
  <cp:revision>31</cp:revision>
  <cp:lastPrinted>2019-12-27T08:58:00Z</cp:lastPrinted>
  <dcterms:created xsi:type="dcterms:W3CDTF">2019-12-23T13:56:00Z</dcterms:created>
  <dcterms:modified xsi:type="dcterms:W3CDTF">2019-12-27T09:00:00Z</dcterms:modified>
</cp:coreProperties>
</file>