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2000000">
      <w:pPr>
        <w:widowControl w:val="1"/>
        <w:ind w:firstLine="0" w:left="6293" w:right="0"/>
        <w:jc w:val="left"/>
      </w:pPr>
      <w:r>
        <w:t>Приложение</w:t>
      </w:r>
    </w:p>
    <w:p w14:paraId="03000000">
      <w:pPr>
        <w:widowControl w:val="1"/>
        <w:ind w:firstLine="0" w:left="6293" w:right="0"/>
        <w:jc w:val="left"/>
      </w:pPr>
      <w:r>
        <w:t xml:space="preserve">                                                                                                                                          </w:t>
      </w:r>
      <w:r>
        <w:t>Утверждено</w:t>
      </w:r>
    </w:p>
    <w:p w14:paraId="04000000">
      <w:pPr>
        <w:widowControl w:val="1"/>
        <w:ind w:firstLine="0" w:left="6293" w:right="0"/>
        <w:jc w:val="left"/>
      </w:pPr>
      <w:r>
        <w:t>распоряжением</w:t>
      </w:r>
    </w:p>
    <w:p w14:paraId="05000000">
      <w:pPr>
        <w:widowControl w:val="1"/>
        <w:ind w:firstLine="0" w:left="6293" w:right="0"/>
        <w:jc w:val="left"/>
      </w:pPr>
      <w:r>
        <w:t>администрации города Курчатова</w:t>
      </w:r>
    </w:p>
    <w:p w14:paraId="06000000">
      <w:pPr>
        <w:widowControl w:val="1"/>
        <w:ind w:firstLine="0" w:left="6293" w:right="0"/>
        <w:jc w:val="left"/>
      </w:pPr>
      <w:r>
        <w:t>от «___»________2022 №_____</w:t>
      </w:r>
    </w:p>
    <w:p w14:paraId="07000000">
      <w:pPr>
        <w:widowControl w:val="1"/>
        <w:ind w:firstLine="0" w:left="6293" w:right="0"/>
        <w:jc w:val="left"/>
      </w:pPr>
    </w:p>
    <w:p w14:paraId="08000000">
      <w:pPr>
        <w:ind/>
        <w:jc w:val="left"/>
      </w:pPr>
    </w:p>
    <w:p w14:paraId="09000000">
      <w:pPr>
        <w:ind/>
        <w:jc w:val="left"/>
      </w:pPr>
    </w:p>
    <w:p w14:paraId="0A000000">
      <w:pPr>
        <w:ind/>
        <w:jc w:val="left"/>
      </w:pPr>
      <w:r>
        <w:t xml:space="preserve">                                                                                                                                           </w:t>
      </w:r>
      <w:r>
        <w:t>QR-код</w:t>
      </w:r>
    </w:p>
    <w:p w14:paraId="0B000000">
      <w:pPr>
        <w:ind/>
        <w:jc w:val="left"/>
      </w:pPr>
    </w:p>
    <w:p w14:paraId="0C000000">
      <w:pPr>
        <w:ind/>
        <w:jc w:val="left"/>
      </w:pPr>
    </w:p>
    <w:p w14:paraId="0D000000">
      <w:pPr>
        <w:ind/>
        <w:jc w:val="left"/>
      </w:pPr>
    </w:p>
    <w:p w14:paraId="0E000000">
      <w:pPr>
        <w:ind/>
        <w:jc w:val="center"/>
      </w:pPr>
    </w:p>
    <w:p w14:paraId="0F000000">
      <w:pPr>
        <w:ind/>
        <w:jc w:val="center"/>
      </w:pPr>
    </w:p>
    <w:p w14:paraId="10000000">
      <w:pPr>
        <w:ind/>
        <w:jc w:val="center"/>
      </w:pPr>
      <w:r>
        <w:rPr>
          <w:rFonts w:ascii="Times New Roman" w:hAnsi="Times New Roman"/>
          <w:b w:val="1"/>
          <w:sz w:val="32"/>
        </w:rPr>
        <w:t>Ф О Р М А</w:t>
      </w:r>
    </w:p>
    <w:p w14:paraId="11000000">
      <w:pPr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проверочного листа (списка контрольных вопросов), </w:t>
      </w:r>
      <w:r>
        <w:rPr>
          <w:rFonts w:ascii="Times New Roman" w:hAnsi="Times New Roman"/>
          <w:b w:val="1"/>
          <w:color w:val="000000"/>
          <w:sz w:val="28"/>
        </w:rPr>
        <w:t xml:space="preserve">применяемого  </w:t>
      </w:r>
      <w:r>
        <w:rPr>
          <w:rFonts w:ascii="Times New Roman" w:hAnsi="Times New Roman"/>
          <w:b w:val="1"/>
          <w:sz w:val="28"/>
        </w:rPr>
        <w:t xml:space="preserve">при проведении  проверки в рамках  осуществления муниципального контроля  за исполнением единой теплоснабжающей организацией обязательств по строительству, реконструкции и (или) модернизации объектов теплоснабжения на </w:t>
      </w:r>
      <w:r>
        <w:rPr>
          <w:rFonts w:ascii="Times New Roman" w:hAnsi="Times New Roman"/>
          <w:b w:val="1"/>
          <w:sz w:val="28"/>
        </w:rPr>
        <w:t xml:space="preserve">территории муниципального образования  «Город Курчатов»  Курской области </w:t>
      </w:r>
    </w:p>
    <w:p w14:paraId="12000000">
      <w:pPr>
        <w:ind/>
        <w:jc w:val="center"/>
        <w:rPr>
          <w:b w:val="0"/>
          <w:sz w:val="24"/>
        </w:rPr>
      </w:pPr>
    </w:p>
    <w:p w14:paraId="13000000">
      <w:pPr>
        <w:ind/>
        <w:jc w:val="center"/>
      </w:pPr>
      <w:r>
        <w:rPr>
          <w:rFonts w:ascii="Times New Roman" w:hAnsi="Times New Roman"/>
          <w:sz w:val="32"/>
          <w:u w:val="single"/>
        </w:rPr>
        <w:t>Администрация  города Курчатова Курской области</w:t>
      </w:r>
    </w:p>
    <w:p w14:paraId="14000000">
      <w:pPr>
        <w:ind/>
        <w:jc w:val="center"/>
      </w:pPr>
      <w:r>
        <w:rPr>
          <w:rFonts w:ascii="Times New Roman" w:hAnsi="Times New Roman"/>
          <w:b w:val="0"/>
          <w:sz w:val="32"/>
          <w:u w:val="single"/>
        </w:rPr>
        <w:t xml:space="preserve">Комитет контроля </w:t>
      </w:r>
      <w:r>
        <w:rPr>
          <w:rFonts w:ascii="Times New Roman" w:hAnsi="Times New Roman"/>
          <w:b w:val="0"/>
          <w:sz w:val="32"/>
          <w:u w:val="single"/>
        </w:rPr>
        <w:t xml:space="preserve"> </w:t>
      </w:r>
      <w:r>
        <w:rPr>
          <w:rFonts w:ascii="Times New Roman" w:hAnsi="Times New Roman"/>
          <w:b w:val="0"/>
          <w:sz w:val="32"/>
          <w:u w:val="single"/>
        </w:rPr>
        <w:t xml:space="preserve">администрации  города Курчатова Курской области </w:t>
      </w:r>
    </w:p>
    <w:p w14:paraId="15000000">
      <w:pPr>
        <w:ind/>
        <w:jc w:val="center"/>
      </w:pPr>
      <w:r>
        <w:rPr>
          <w:sz w:val="20"/>
        </w:rPr>
        <w:t xml:space="preserve"> </w:t>
      </w:r>
      <w:r>
        <w:rPr>
          <w:sz w:val="20"/>
        </w:rPr>
        <w:t>(наименование контрольного органа)</w:t>
      </w:r>
    </w:p>
    <w:p w14:paraId="16000000">
      <w:pPr>
        <w:ind/>
        <w:jc w:val="left"/>
      </w:pPr>
      <w:r>
        <w:t>проводит  проверку: ______________________________________________________________</w:t>
      </w:r>
    </w:p>
    <w:p w14:paraId="17000000">
      <w:pPr>
        <w:ind/>
        <w:jc w:val="center"/>
      </w:pPr>
      <w:r>
        <w:rPr>
          <w:sz w:val="20"/>
        </w:rPr>
        <w:t>(плановую, внеплановую)</w:t>
      </w:r>
    </w:p>
    <w:p w14:paraId="18000000">
      <w:pPr>
        <w:ind/>
        <w:jc w:val="left"/>
      </w:pPr>
      <w:r>
        <w:t>1. ________________________________________________________________________________</w:t>
      </w:r>
    </w:p>
    <w:p w14:paraId="19000000">
      <w:pPr>
        <w:ind/>
        <w:jc w:val="center"/>
      </w:pPr>
      <w:r>
        <w:rPr>
          <w:sz w:val="20"/>
        </w:rPr>
        <w:t>вид контрольного  мероприятия )</w:t>
      </w:r>
      <w:r>
        <w:t xml:space="preserve">   </w:t>
      </w:r>
    </w:p>
    <w:p w14:paraId="1A000000">
      <w:pPr>
        <w:ind/>
        <w:jc w:val="both"/>
      </w:pPr>
      <w:r>
        <w:rPr>
          <w:b w:val="1"/>
        </w:rPr>
        <w:t>2.    ________________________________________________________________________________</w:t>
      </w:r>
    </w:p>
    <w:p w14:paraId="1B000000">
      <w:pPr>
        <w:ind/>
        <w:jc w:val="center"/>
      </w:pPr>
      <w:r>
        <w:rPr>
          <w:b w:val="0"/>
          <w:sz w:val="20"/>
        </w:rPr>
        <w:t>(Объект  муниципального  контроля, в отношении которого проводится контрольное  мероприятие)</w:t>
      </w:r>
    </w:p>
    <w:p w14:paraId="1C000000">
      <w:pPr>
        <w:ind/>
        <w:jc w:val="both"/>
      </w:pPr>
    </w:p>
    <w:p w14:paraId="1D000000">
      <w:pPr>
        <w:ind/>
        <w:jc w:val="both"/>
      </w:pPr>
      <w:r>
        <w:rPr>
          <w:b w:val="0"/>
          <w:sz w:val="20"/>
        </w:rPr>
        <w:t>________________________________________________________________________________________________</w:t>
      </w:r>
    </w:p>
    <w:p w14:paraId="1E000000">
      <w:pPr>
        <w:ind/>
        <w:jc w:val="both"/>
      </w:pPr>
    </w:p>
    <w:p w14:paraId="1F000000">
      <w:pPr>
        <w:ind/>
        <w:jc w:val="both"/>
      </w:pPr>
      <w:r>
        <w:rPr>
          <w:rFonts w:ascii="Times New Roman" w:hAnsi="Times New Roman"/>
          <w:b w:val="1"/>
        </w:rPr>
        <w:t xml:space="preserve">3. </w:t>
      </w:r>
      <w:r>
        <w:rPr>
          <w:rFonts w:ascii="Times New Roman" w:hAnsi="Times New Roman"/>
          <w:b w:val="0"/>
        </w:rPr>
        <w:t>Контролируемое лицо:</w:t>
      </w:r>
    </w:p>
    <w:p w14:paraId="20000000">
      <w:pPr>
        <w:ind/>
        <w:jc w:val="both"/>
      </w:pPr>
    </w:p>
    <w:p w14:paraId="21000000">
      <w:pPr>
        <w:ind/>
        <w:jc w:val="both"/>
      </w:pPr>
      <w:r>
        <w:rPr>
          <w:rFonts w:ascii="Times New Roman" w:hAnsi="Times New Roman"/>
        </w:rPr>
        <w:t xml:space="preserve">________________________________________________________________________________     </w:t>
      </w:r>
    </w:p>
    <w:p w14:paraId="22000000">
      <w:pPr>
        <w:ind/>
        <w:jc w:val="center"/>
      </w:pPr>
      <w:r>
        <w:rPr>
          <w:rFonts w:ascii="Times New Roman" w:hAnsi="Times New Roman"/>
        </w:rPr>
        <w:t>(Ф</w:t>
      </w:r>
      <w:r>
        <w:rPr>
          <w:rFonts w:ascii="Times New Roman" w:hAnsi="Times New Roman"/>
          <w:sz w:val="20"/>
        </w:rPr>
        <w:t xml:space="preserve">амилия, имя и отчество (при наличии) гражданина или  индивидуального </w:t>
      </w:r>
      <w:r>
        <w:rPr>
          <w:rFonts w:ascii="Tinos" w:hAnsi="Tinos"/>
          <w:sz w:val="20"/>
        </w:rPr>
        <w:t>предпринимателя</w:t>
      </w:r>
      <w:r>
        <w:rPr>
          <w:rFonts w:ascii="Times New Roman" w:hAnsi="Times New Roman"/>
          <w:sz w:val="20"/>
        </w:rPr>
        <w:t>)</w:t>
      </w:r>
    </w:p>
    <w:p w14:paraId="23000000">
      <w:pPr>
        <w:ind/>
        <w:jc w:val="both"/>
      </w:pPr>
    </w:p>
    <w:p w14:paraId="24000000">
      <w:pPr>
        <w:ind/>
        <w:jc w:val="both"/>
      </w:pPr>
      <w:r>
        <w:rPr>
          <w:rFonts w:ascii="Times New Roman" w:hAnsi="Times New Roman"/>
          <w:sz w:val="20"/>
        </w:rPr>
        <w:t>________________________________________________________________________________________________</w:t>
      </w:r>
    </w:p>
    <w:p w14:paraId="25000000">
      <w:pPr>
        <w:ind/>
        <w:jc w:val="center"/>
      </w:pPr>
      <w:r>
        <w:rPr>
          <w:sz w:val="20"/>
        </w:rPr>
        <w:t xml:space="preserve"> </w:t>
      </w:r>
      <w:r>
        <w:rPr>
          <w:sz w:val="20"/>
        </w:rPr>
        <w:t>(Наименование юридического лица)</w:t>
      </w:r>
    </w:p>
    <w:p w14:paraId="26000000">
      <w:pPr>
        <w:ind/>
        <w:jc w:val="both"/>
        <w:rPr>
          <w:rFonts w:ascii="Times New Roman" w:hAnsi="Times New Roman"/>
          <w:sz w:val="20"/>
        </w:rPr>
      </w:pPr>
    </w:p>
    <w:p w14:paraId="27000000">
      <w:pPr>
        <w:ind/>
        <w:jc w:val="both"/>
      </w:pPr>
      <w:r>
        <w:rPr>
          <w:rFonts w:ascii="Times New Roman" w:hAnsi="Times New Roman"/>
          <w:sz w:val="20"/>
        </w:rPr>
        <w:t>________________________________________________________________________________________________</w:t>
      </w:r>
    </w:p>
    <w:p w14:paraId="28000000">
      <w:pPr>
        <w:ind/>
        <w:jc w:val="both"/>
      </w:pPr>
      <w:r>
        <w:rPr>
          <w:sz w:val="20"/>
        </w:rPr>
        <w:t xml:space="preserve">(идентификационный номер налогоплательщика и (или) основной государственный регистрационный номер                     </w:t>
      </w:r>
    </w:p>
    <w:p w14:paraId="29000000">
      <w:pPr>
        <w:ind/>
        <w:jc w:val="both"/>
      </w:pPr>
      <w:r>
        <w:rPr>
          <w:sz w:val="20"/>
        </w:rPr>
        <w:t xml:space="preserve">                                                  </w:t>
      </w:r>
      <w:r>
        <w:rPr>
          <w:sz w:val="20"/>
        </w:rPr>
        <w:t>индивидуального предпринимателя, юридического лица)</w:t>
      </w:r>
    </w:p>
    <w:p w14:paraId="2A000000">
      <w:pPr>
        <w:ind/>
        <w:jc w:val="both"/>
        <w:rPr>
          <w:sz w:val="20"/>
        </w:rPr>
      </w:pPr>
    </w:p>
    <w:p w14:paraId="2B000000">
      <w:pPr>
        <w:ind/>
        <w:jc w:val="both"/>
      </w:pPr>
      <w:r>
        <w:rPr>
          <w:sz w:val="20"/>
        </w:rPr>
        <w:t>________________________________________________________________________________________________</w:t>
      </w:r>
    </w:p>
    <w:p w14:paraId="2C000000">
      <w:pPr>
        <w:ind/>
        <w:jc w:val="center"/>
      </w:pPr>
      <w:r>
        <w:rPr>
          <w:sz w:val="20"/>
        </w:rPr>
        <w:t>(адрес регистрации гражданина или индивидуального предпринимателя, адрес юридического лица (его</w:t>
      </w:r>
    </w:p>
    <w:p w14:paraId="2D000000">
      <w:pPr>
        <w:ind/>
        <w:jc w:val="both"/>
      </w:pPr>
      <w:r>
        <w:rPr>
          <w:sz w:val="20"/>
        </w:rPr>
        <w:t>________________________________________________________________________________________________</w:t>
      </w:r>
    </w:p>
    <w:p w14:paraId="2E000000">
      <w:pPr>
        <w:ind/>
        <w:jc w:val="center"/>
      </w:pPr>
      <w:r>
        <w:rPr>
          <w:sz w:val="20"/>
        </w:rPr>
        <w:t xml:space="preserve"> </w:t>
      </w:r>
      <w:r>
        <w:rPr>
          <w:sz w:val="20"/>
        </w:rPr>
        <w:t>филиалов,  представительств, обособленных  структурных подразделений))</w:t>
      </w:r>
    </w:p>
    <w:p w14:paraId="2F000000">
      <w:pPr>
        <w:ind/>
        <w:jc w:val="both"/>
      </w:pPr>
    </w:p>
    <w:p w14:paraId="30000000">
      <w:pPr>
        <w:ind/>
        <w:jc w:val="both"/>
      </w:pPr>
      <w:r>
        <w:rPr>
          <w:rFonts w:ascii="Times New Roman" w:hAnsi="Times New Roman"/>
          <w:b w:val="1"/>
        </w:rPr>
        <w:t>4.</w:t>
      </w:r>
      <w:r>
        <w:rPr>
          <w:rFonts w:ascii="Times New Roman" w:hAnsi="Times New Roman"/>
        </w:rPr>
        <w:t xml:space="preserve"> Место (места) проведения контрольного   мероприятия  с заполнением проверочного листа:</w:t>
      </w:r>
    </w:p>
    <w:p w14:paraId="31000000">
      <w:pPr>
        <w:ind/>
        <w:jc w:val="both"/>
      </w:pPr>
      <w:r>
        <w:rPr>
          <w:rFonts w:ascii="Times New Roman" w:hAnsi="Times New Roman"/>
        </w:rPr>
        <w:t>________________________________________________________________________________</w:t>
      </w:r>
    </w:p>
    <w:p w14:paraId="32000000">
      <w:pPr>
        <w:ind/>
        <w:jc w:val="both"/>
      </w:pPr>
      <w:r>
        <w:rPr>
          <w:rFonts w:ascii="Times New Roman" w:hAnsi="Times New Roman"/>
        </w:rPr>
        <w:t>________________________________________________________________________________</w:t>
      </w:r>
    </w:p>
    <w:p w14:paraId="33000000">
      <w:pPr>
        <w:ind/>
        <w:jc w:val="both"/>
      </w:pPr>
      <w:r>
        <w:rPr>
          <w:rFonts w:ascii="Times New Roman" w:hAnsi="Times New Roman"/>
        </w:rPr>
        <w:t>________________________________________________________________________________</w:t>
      </w:r>
    </w:p>
    <w:p w14:paraId="34000000">
      <w:pPr>
        <w:spacing w:line="240" w:lineRule="auto"/>
        <w:ind/>
        <w:jc w:val="both"/>
      </w:pPr>
      <w:r>
        <w:rPr>
          <w:rFonts w:ascii="Times New Roman" w:hAnsi="Times New Roman"/>
        </w:rPr>
        <w:t>________________________________________________________________________________</w:t>
      </w:r>
    </w:p>
    <w:p w14:paraId="35000000">
      <w:pPr>
        <w:spacing w:line="240" w:lineRule="auto"/>
        <w:ind/>
        <w:jc w:val="both"/>
      </w:pPr>
      <w:r>
        <w:rPr>
          <w:rFonts w:ascii="Times New Roman" w:hAnsi="Times New Roman"/>
        </w:rPr>
        <w:t>________________________________________________________________________________</w:t>
      </w:r>
    </w:p>
    <w:p w14:paraId="36000000">
      <w:pPr>
        <w:spacing w:line="240" w:lineRule="auto"/>
        <w:ind/>
        <w:jc w:val="both"/>
        <w:rPr>
          <w:rFonts w:ascii="Times New Roman" w:hAnsi="Times New Roman"/>
        </w:rPr>
      </w:pPr>
    </w:p>
    <w:p w14:paraId="37000000">
      <w:pPr>
        <w:ind/>
        <w:jc w:val="both"/>
      </w:pPr>
      <w:r>
        <w:rPr>
          <w:rFonts w:ascii="Times New Roman" w:hAnsi="Times New Roman"/>
          <w:b w:val="1"/>
        </w:rPr>
        <w:t>5.</w:t>
      </w:r>
      <w:r>
        <w:rPr>
          <w:rFonts w:ascii="Times New Roman" w:hAnsi="Times New Roman"/>
        </w:rPr>
        <w:t xml:space="preserve"> Реквизиты решения контрольного органа о проведении контрольного мероприятия, подписанного уполномоченным должностным лицом контрольного органа:</w:t>
      </w:r>
    </w:p>
    <w:p w14:paraId="38000000">
      <w:pPr>
        <w:ind/>
        <w:jc w:val="both"/>
      </w:pPr>
      <w:r>
        <w:rPr>
          <w:rFonts w:ascii="Times New Roman" w:hAnsi="Times New Roman"/>
        </w:rPr>
        <w:t>________________________________________________________________________________</w:t>
      </w:r>
    </w:p>
    <w:p w14:paraId="39000000">
      <w:pPr>
        <w:ind/>
        <w:jc w:val="center"/>
      </w:pPr>
      <w:r>
        <w:rPr>
          <w:rFonts w:ascii="Times New Roman" w:hAnsi="Times New Roman"/>
          <w:sz w:val="20"/>
        </w:rPr>
        <w:t>(номер, дата распоряжения о проведении проверки )</w:t>
      </w:r>
    </w:p>
    <w:p w14:paraId="3A000000">
      <w:pPr>
        <w:ind/>
        <w:jc w:val="both"/>
      </w:pPr>
      <w:r>
        <w:rPr>
          <w:rFonts w:ascii="Times New Roman" w:hAnsi="Times New Roman"/>
        </w:rPr>
        <w:t>________________________________________________________________________________</w:t>
      </w:r>
    </w:p>
    <w:p w14:paraId="3B000000">
      <w:pPr>
        <w:ind/>
        <w:jc w:val="both"/>
        <w:rPr>
          <w:rFonts w:ascii="Times New Roman" w:hAnsi="Times New Roman"/>
        </w:rPr>
      </w:pPr>
    </w:p>
    <w:p w14:paraId="3C000000">
      <w:pPr>
        <w:ind/>
        <w:jc w:val="both"/>
      </w:pPr>
      <w:r>
        <w:rPr>
          <w:rFonts w:ascii="Times New Roman" w:hAnsi="Times New Roman"/>
          <w:b w:val="1"/>
        </w:rPr>
        <w:t xml:space="preserve">6. </w:t>
      </w:r>
      <w:r>
        <w:rPr>
          <w:rFonts w:ascii="Times New Roman" w:hAnsi="Times New Roman"/>
        </w:rPr>
        <w:t xml:space="preserve">Учетный номер контрольного мероприятия: </w:t>
      </w:r>
    </w:p>
    <w:p w14:paraId="3D000000">
      <w:pPr>
        <w:ind/>
        <w:jc w:val="both"/>
      </w:pPr>
      <w:r>
        <w:rPr>
          <w:rFonts w:ascii="Times New Roman" w:hAnsi="Times New Roman"/>
        </w:rPr>
        <w:t>________________________________________________________________________________</w:t>
      </w:r>
    </w:p>
    <w:p w14:paraId="3E000000">
      <w:pPr>
        <w:ind/>
        <w:jc w:val="both"/>
      </w:pPr>
      <w:r>
        <w:rPr>
          <w:rFonts w:ascii="Times New Roman" w:hAnsi="Times New Roman"/>
        </w:rPr>
        <w:t>________________________________________________________________________________</w:t>
      </w:r>
    </w:p>
    <w:p w14:paraId="3F000000">
      <w:pPr>
        <w:ind/>
        <w:jc w:val="both"/>
        <w:rPr>
          <w:rFonts w:ascii="Times New Roman" w:hAnsi="Times New Roman"/>
        </w:rPr>
      </w:pPr>
    </w:p>
    <w:p w14:paraId="40000000">
      <w:pPr>
        <w:ind/>
        <w:jc w:val="both"/>
      </w:pPr>
      <w:r>
        <w:rPr>
          <w:rFonts w:ascii="Times New Roman" w:hAnsi="Times New Roman"/>
          <w:b w:val="1"/>
        </w:rPr>
        <w:t>7.</w:t>
      </w:r>
      <w:r>
        <w:rPr>
          <w:rFonts w:ascii="Times New Roman" w:hAnsi="Times New Roman"/>
        </w:rPr>
        <w:t xml:space="preserve"> Должность, фамилия и инициалы  должностного(ых) лица (лиц)  контрольного органа, осуществляющего(их) полномочия по виду контроля, проводящ</w:t>
      </w:r>
      <w:r>
        <w:rPr>
          <w:rFonts w:ascii="Times New Roman" w:hAnsi="Times New Roman"/>
          <w:u w:val="none"/>
        </w:rPr>
        <w:t>его</w:t>
      </w:r>
      <w:r>
        <w:rPr>
          <w:rFonts w:ascii="Times New Roman" w:hAnsi="Times New Roman"/>
        </w:rPr>
        <w:t>(их) контрольное  мероприятие и заполняющего проверочный лист (далее - инспектор):</w:t>
      </w:r>
    </w:p>
    <w:p w14:paraId="41000000">
      <w:pPr>
        <w:ind/>
        <w:jc w:val="both"/>
      </w:pP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000000">
      <w:pPr>
        <w:ind/>
        <w:jc w:val="both"/>
        <w:rPr>
          <w:rFonts w:ascii="Times New Roman" w:hAnsi="Times New Roman"/>
        </w:rPr>
      </w:pPr>
    </w:p>
    <w:p w14:paraId="43000000">
      <w:pPr>
        <w:ind/>
        <w:jc w:val="both"/>
      </w:pPr>
      <w:r>
        <w:rPr>
          <w:rFonts w:ascii="Times New Roman" w:hAnsi="Times New Roman"/>
          <w:b w:val="1"/>
        </w:rPr>
        <w:t>8.</w:t>
      </w:r>
      <w:r>
        <w:rPr>
          <w:rFonts w:ascii="Times New Roman" w:hAnsi="Times New Roman"/>
        </w:rPr>
        <w:t xml:space="preserve"> Список контрольных вопросов, отражающих содержание обязательных требований, ответы на которые  свидетельствуют о соблюдении или несоблюдении контролируемым лицом обязательных требований.</w:t>
      </w:r>
    </w:p>
    <w:p w14:paraId="44000000">
      <w:pPr>
        <w:ind/>
        <w:jc w:val="both"/>
      </w:pPr>
      <w:r>
        <w:rPr>
          <w:rFonts w:ascii="Times New Roman" w:hAnsi="Times New Roman"/>
        </w:rPr>
        <w:t xml:space="preserve">     </w:t>
      </w:r>
    </w:p>
    <w:p w14:paraId="45000000">
      <w:pPr>
        <w:ind/>
        <w:jc w:val="both"/>
      </w:pP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>Ф</w:t>
      </w:r>
      <w:r>
        <w:rPr>
          <w:rFonts w:ascii="Times New Roman" w:hAnsi="Times New Roman"/>
        </w:rPr>
        <w:t>орм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проверочного листа (</w:t>
      </w:r>
      <w:r>
        <w:rPr>
          <w:rFonts w:ascii="Times New Roman" w:hAnsi="Times New Roman"/>
        </w:rPr>
        <w:t>список контрольных вопросов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 у</w:t>
      </w:r>
      <w:r>
        <w:rPr>
          <w:rFonts w:ascii="Times New Roman" w:hAnsi="Times New Roman"/>
          <w:b w:val="0"/>
          <w:sz w:val="24"/>
        </w:rPr>
        <w:t>твержден</w:t>
      </w:r>
      <w:r>
        <w:rPr>
          <w:rFonts w:ascii="Times New Roman" w:hAnsi="Times New Roman"/>
          <w:b w:val="0"/>
          <w:sz w:val="24"/>
        </w:rPr>
        <w:t>а</w:t>
      </w:r>
      <w:r>
        <w:rPr>
          <w:rFonts w:ascii="Times New Roman" w:hAnsi="Times New Roman"/>
          <w:b w:val="0"/>
          <w:sz w:val="24"/>
        </w:rPr>
        <w:t xml:space="preserve"> распоряжением администрации города Курчатова от «    »_________2022 № ____. </w:t>
      </w:r>
    </w:p>
    <w:p w14:paraId="46000000">
      <w:pPr>
        <w:ind/>
        <w:jc w:val="both"/>
      </w:pPr>
    </w:p>
    <w:tbl>
      <w:tblPr>
        <w:tblStyle w:val="Style_2"/>
        <w:tblInd w:type="dxa" w:w="76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457"/>
        <w:gridCol w:w="3217"/>
        <w:gridCol w:w="2336"/>
        <w:gridCol w:w="710"/>
        <w:gridCol w:w="623"/>
        <w:gridCol w:w="848"/>
        <w:gridCol w:w="1348"/>
      </w:tblGrid>
      <w:tr>
        <w:tc>
          <w:tcPr>
            <w:tcW w:type="dxa" w:w="4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7000000">
            <w:pPr>
              <w:pStyle w:val="Style_3"/>
              <w:ind/>
              <w:jc w:val="left"/>
            </w:pPr>
            <w:r>
              <w:t xml:space="preserve"> </w:t>
            </w:r>
            <w:r>
              <w:t>п/п</w:t>
            </w:r>
          </w:p>
        </w:tc>
        <w:tc>
          <w:tcPr>
            <w:tcW w:type="dxa" w:w="32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8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Список вопросов, отражающих содержание обязательных требований </w:t>
            </w:r>
          </w:p>
          <w:p w14:paraId="49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type="dxa" w:w="23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A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Реквизиты правового акта, содержащего обязательные требования, </w:t>
            </w:r>
            <w:r>
              <w:rPr>
                <w:rFonts w:ascii="Times New Roman" w:hAnsi="Times New Roman"/>
              </w:rPr>
              <w:t xml:space="preserve">структурные единицы правового акта (статья, раздел, </w:t>
            </w:r>
            <w:r>
              <w:rPr>
                <w:rFonts w:ascii="Times New Roman" w:hAnsi="Times New Roman"/>
              </w:rPr>
              <w:t>п., п.п.)</w:t>
            </w:r>
          </w:p>
        </w:tc>
        <w:tc>
          <w:tcPr>
            <w:tcW w:type="dxa" w:w="2181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B000000">
            <w:pPr>
              <w:pStyle w:val="Style_3"/>
              <w:ind/>
              <w:jc w:val="center"/>
            </w:pPr>
            <w:r>
              <w:t>Варианты ответов</w:t>
            </w: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C000000">
            <w:pPr>
              <w:pStyle w:val="Style_3"/>
              <w:ind/>
              <w:jc w:val="center"/>
            </w:pPr>
            <w:r>
              <w:t>Примеча-ния</w:t>
            </w:r>
          </w:p>
          <w:p w14:paraId="4D000000">
            <w:pPr>
              <w:pStyle w:val="Style_3"/>
              <w:ind/>
              <w:jc w:val="center"/>
            </w:pPr>
          </w:p>
          <w:p w14:paraId="4E000000">
            <w:pPr>
              <w:pStyle w:val="Style_3"/>
              <w:ind/>
              <w:jc w:val="center"/>
            </w:pPr>
          </w:p>
        </w:tc>
      </w:tr>
      <w:tr>
        <w:tc>
          <w:tcPr>
            <w:tcW w:type="dxa" w:w="4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32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23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F000000">
            <w:pPr>
              <w:pStyle w:val="Style_3"/>
              <w:ind/>
              <w:jc w:val="center"/>
            </w:pPr>
            <w:r>
              <w:t>да</w:t>
            </w:r>
          </w:p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0000000">
            <w:pPr>
              <w:pStyle w:val="Style_3"/>
              <w:ind/>
              <w:jc w:val="center"/>
            </w:pPr>
            <w:r>
              <w:t>нет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1000000">
            <w:pPr>
              <w:pStyle w:val="Style_3"/>
              <w:ind/>
              <w:jc w:val="center"/>
            </w:pPr>
            <w:r>
              <w:t>непри-</w:t>
            </w:r>
          </w:p>
          <w:p w14:paraId="52000000">
            <w:pPr>
              <w:pStyle w:val="Style_3"/>
              <w:ind/>
              <w:jc w:val="center"/>
            </w:pPr>
            <w:r>
              <w:t>мени-мо</w:t>
            </w: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3000000">
            <w:pPr>
              <w:pStyle w:val="Style_3"/>
              <w:widowControl w:val="1"/>
              <w:ind w:firstLine="0" w:left="0" w:right="0"/>
              <w:jc w:val="center"/>
            </w:pPr>
            <w:r>
              <w:t>обязательна при заполнении графы</w:t>
            </w:r>
          </w:p>
          <w:p w14:paraId="54000000">
            <w:pPr>
              <w:pStyle w:val="Style_3"/>
              <w:widowControl w:val="1"/>
              <w:ind w:firstLine="0" w:left="0" w:right="0"/>
              <w:jc w:val="center"/>
            </w:pPr>
            <w:r>
              <w:t>«неприме-нимо»</w:t>
            </w:r>
          </w:p>
        </w:tc>
      </w:tr>
      <w:tr>
        <w:tc>
          <w:tcPr>
            <w:tcW w:type="dxa" w:w="4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5000000">
            <w:pPr>
              <w:pStyle w:val="Style_3"/>
              <w:ind/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6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7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8000000">
            <w:pPr>
              <w:pStyle w:val="Style_3"/>
              <w:ind/>
              <w:jc w:val="center"/>
            </w:pPr>
            <w:r>
              <w:rPr>
                <w:sz w:val="20"/>
              </w:rPr>
              <w:t>4</w:t>
            </w:r>
          </w:p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9000000">
            <w:pPr>
              <w:pStyle w:val="Style_3"/>
              <w:ind/>
              <w:jc w:val="center"/>
            </w:pPr>
            <w:r>
              <w:rPr>
                <w:sz w:val="20"/>
              </w:rPr>
              <w:t>5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A000000">
            <w:pPr>
              <w:pStyle w:val="Style_3"/>
              <w:ind/>
              <w:jc w:val="center"/>
            </w:pPr>
            <w:r>
              <w:rPr>
                <w:sz w:val="20"/>
              </w:rPr>
              <w:t>6</w:t>
            </w: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B000000">
            <w:pPr>
              <w:pStyle w:val="Style_3"/>
              <w:ind/>
              <w:jc w:val="center"/>
            </w:pPr>
            <w:r>
              <w:rPr>
                <w:sz w:val="20"/>
              </w:rPr>
              <w:t>7</w:t>
            </w:r>
          </w:p>
        </w:tc>
      </w:tr>
      <w:tr>
        <w:trPr>
          <w:trHeight w:hRule="atLeast" w:val="285"/>
        </w:trPr>
        <w:tc>
          <w:tcPr>
            <w:tcW w:type="dxa" w:w="4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C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D000000">
            <w:pPr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 установлении тарифов в сфере теплоснабжения учтены ли нормативы технологических потерь при передаче тепловой энергии, теплоносителя по тепловым сетям и нормативы удельного расхода топлива при производстве тепловой энергии?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E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закон от 27.07.2010 № 190-ФЗ (ред. от 30.12.2021) «О теплоснабжении» (далее – Федеральный закон №190-ФЗ)</w:t>
            </w:r>
          </w:p>
          <w:p w14:paraId="5F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ст. 9 п. 3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000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100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200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3000000">
            <w:pPr>
              <w:pStyle w:val="Style_3"/>
              <w:ind/>
              <w:jc w:val="left"/>
              <w:rPr>
                <w:b w:val="0"/>
              </w:rPr>
            </w:pPr>
          </w:p>
        </w:tc>
      </w:tr>
      <w:tr>
        <w:trPr>
          <w:trHeight w:hRule="atLeast" w:val="285"/>
        </w:trPr>
        <w:tc>
          <w:tcPr>
            <w:tcW w:type="dxa" w:w="4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4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00000">
            <w:pPr>
              <w:spacing w:after="0" w:line="240" w:lineRule="auto"/>
              <w:ind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Соблюдаются ли единой теплоснабжающей организацией расчет за товары, услуги в сфере теплоснабжения  по ценам (тарифам), подлежащим государственному регулированию?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Федеральный закон №190-ФЗ ст. 2 п. 18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7000000">
            <w:pPr>
              <w:pStyle w:val="Style_3"/>
            </w:pPr>
          </w:p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800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900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A000000">
            <w:pPr>
              <w:pStyle w:val="Style_3"/>
              <w:ind/>
              <w:jc w:val="left"/>
              <w:rPr>
                <w:b w:val="0"/>
              </w:rPr>
            </w:pPr>
          </w:p>
        </w:tc>
      </w:tr>
      <w:tr>
        <w:trPr>
          <w:trHeight w:hRule="atLeast" w:val="285"/>
        </w:trPr>
        <w:tc>
          <w:tcPr>
            <w:tcW w:type="dxa" w:w="4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B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00000">
            <w:pPr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Обеспечено ли функционирование эксплуатационной, диспетчерской и аварийной служб?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Федеральный закон </w:t>
            </w:r>
            <w:r>
              <w:rPr>
                <w:rFonts w:ascii="Times New Roman" w:hAnsi="Times New Roman"/>
              </w:rPr>
              <w:t xml:space="preserve">№190-ФЗ ст. 20 </w:t>
            </w:r>
          </w:p>
          <w:p w14:paraId="6E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5.1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F000000">
            <w:pPr>
              <w:pStyle w:val="Style_3"/>
            </w:pPr>
          </w:p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000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100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2000000">
            <w:pPr>
              <w:pStyle w:val="Style_3"/>
              <w:ind/>
              <w:jc w:val="left"/>
              <w:rPr>
                <w:b w:val="0"/>
              </w:rPr>
            </w:pPr>
          </w:p>
        </w:tc>
      </w:tr>
      <w:tr>
        <w:trPr>
          <w:trHeight w:hRule="atLeast" w:val="285"/>
        </w:trPr>
        <w:tc>
          <w:tcPr>
            <w:tcW w:type="dxa" w:w="4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3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00000">
            <w:pPr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Организована ли  наладка принадлежащей ей тепловых сетей?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Федеральный закон </w:t>
            </w:r>
            <w:r>
              <w:rPr>
                <w:rFonts w:ascii="Times New Roman" w:hAnsi="Times New Roman"/>
              </w:rPr>
              <w:t xml:space="preserve">№190-ФЗ ст. 20 </w:t>
            </w:r>
          </w:p>
          <w:p w14:paraId="76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5.2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7000000"/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800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900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A000000">
            <w:pPr>
              <w:pStyle w:val="Style_3"/>
              <w:ind/>
              <w:jc w:val="left"/>
              <w:rPr>
                <w:b w:val="0"/>
              </w:rPr>
            </w:pPr>
          </w:p>
        </w:tc>
      </w:tr>
      <w:tr>
        <w:trPr>
          <w:trHeight w:hRule="atLeast" w:val="285"/>
        </w:trPr>
        <w:tc>
          <w:tcPr>
            <w:tcW w:type="dxa" w:w="4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B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00000">
            <w:pPr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Осуществляется ли контроль режимов потребления тепловой энергии?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Федеральный закон </w:t>
            </w:r>
            <w:r>
              <w:rPr>
                <w:rFonts w:ascii="Times New Roman" w:hAnsi="Times New Roman"/>
              </w:rPr>
              <w:t xml:space="preserve">№190-ФЗ ст. 20 </w:t>
            </w:r>
          </w:p>
          <w:p w14:paraId="7E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5.3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F000000"/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000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100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2000000">
            <w:pPr>
              <w:pStyle w:val="Style_3"/>
              <w:ind/>
              <w:jc w:val="left"/>
              <w:rPr>
                <w:b w:val="0"/>
              </w:rPr>
            </w:pPr>
          </w:p>
        </w:tc>
      </w:tr>
      <w:tr>
        <w:trPr>
          <w:trHeight w:hRule="atLeast" w:val="285"/>
        </w:trPr>
        <w:tc>
          <w:tcPr>
            <w:tcW w:type="dxa" w:w="4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3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00000">
            <w:pPr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Обеспечено ли  качество теплоносителей?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Федеральный закон </w:t>
            </w:r>
            <w:r>
              <w:rPr>
                <w:rFonts w:ascii="Times New Roman" w:hAnsi="Times New Roman"/>
              </w:rPr>
              <w:t xml:space="preserve">№190-ФЗ ст. 20 </w:t>
            </w:r>
          </w:p>
          <w:p w14:paraId="86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5.4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7000000"/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800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900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A000000">
            <w:pPr>
              <w:pStyle w:val="Style_3"/>
              <w:ind/>
              <w:jc w:val="left"/>
              <w:rPr>
                <w:b w:val="0"/>
              </w:rPr>
            </w:pPr>
          </w:p>
        </w:tc>
      </w:tr>
      <w:tr>
        <w:trPr>
          <w:trHeight w:hRule="atLeast" w:val="285"/>
        </w:trPr>
        <w:tc>
          <w:tcPr>
            <w:tcW w:type="dxa" w:w="4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B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00000">
            <w:pPr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Организован ли  коммерческий учет приобретаемой тепловой энергии и реализуемой тепловой энергии?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Федеральный закон </w:t>
            </w:r>
            <w:r>
              <w:rPr>
                <w:rFonts w:ascii="Times New Roman" w:hAnsi="Times New Roman"/>
              </w:rPr>
              <w:t xml:space="preserve">№190-ФЗ ст. 20 </w:t>
            </w:r>
          </w:p>
          <w:p w14:paraId="8E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5.5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F000000"/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000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0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2000000">
            <w:pPr>
              <w:pStyle w:val="Style_3"/>
              <w:ind/>
              <w:jc w:val="left"/>
              <w:rPr>
                <w:b w:val="0"/>
              </w:rPr>
            </w:pPr>
          </w:p>
        </w:tc>
      </w:tr>
      <w:tr>
        <w:trPr>
          <w:trHeight w:hRule="atLeast" w:val="285"/>
        </w:trPr>
        <w:tc>
          <w:tcPr>
            <w:tcW w:type="dxa" w:w="4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3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00000">
            <w:pPr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Обеспечивается ли  проверка качества строительства принадлежащих тепловых сетей?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Федеральный закон </w:t>
            </w:r>
            <w:r>
              <w:rPr>
                <w:rFonts w:ascii="Times New Roman" w:hAnsi="Times New Roman"/>
              </w:rPr>
              <w:t xml:space="preserve">№190-ФЗ ст. 20 </w:t>
            </w:r>
          </w:p>
          <w:p w14:paraId="96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5.6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7000000"/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800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900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A000000">
            <w:pPr>
              <w:pStyle w:val="Style_3"/>
              <w:ind/>
              <w:jc w:val="left"/>
              <w:rPr>
                <w:b w:val="0"/>
              </w:rPr>
            </w:pPr>
          </w:p>
        </w:tc>
      </w:tr>
      <w:tr>
        <w:trPr>
          <w:trHeight w:hRule="atLeast" w:val="285"/>
        </w:trPr>
        <w:tc>
          <w:tcPr>
            <w:tcW w:type="dxa" w:w="4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B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00000">
            <w:pPr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Обеспечена ли  безаварийная работа объектов теплоснабжения?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Федеральный закон </w:t>
            </w:r>
            <w:r>
              <w:rPr>
                <w:rFonts w:ascii="Times New Roman" w:hAnsi="Times New Roman"/>
              </w:rPr>
              <w:t xml:space="preserve">№190-ФЗ ст. 20 </w:t>
            </w:r>
          </w:p>
          <w:p w14:paraId="9E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5.7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F000000">
            <w:pPr>
              <w:pStyle w:val="Style_3"/>
            </w:pPr>
          </w:p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000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100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2000000">
            <w:pPr>
              <w:pStyle w:val="Style_3"/>
              <w:ind/>
              <w:jc w:val="left"/>
              <w:rPr>
                <w:b w:val="0"/>
              </w:rPr>
            </w:pPr>
          </w:p>
        </w:tc>
      </w:tr>
      <w:tr>
        <w:trPr>
          <w:trHeight w:hRule="atLeast" w:val="285"/>
        </w:trPr>
        <w:tc>
          <w:tcPr>
            <w:tcW w:type="dxa" w:w="4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3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00000">
            <w:pPr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Обеспечено ли надежное теплоснабжение потребителей?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Федеральный закон </w:t>
            </w:r>
            <w:r>
              <w:rPr>
                <w:rFonts w:ascii="Times New Roman" w:hAnsi="Times New Roman"/>
              </w:rPr>
              <w:t xml:space="preserve">№190-ФЗ ст. 20 </w:t>
            </w:r>
          </w:p>
          <w:p w14:paraId="A6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5.8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7000000">
            <w:pPr>
              <w:pStyle w:val="Style_3"/>
            </w:pPr>
          </w:p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800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900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A000000">
            <w:pPr>
              <w:pStyle w:val="Style_3"/>
              <w:ind/>
              <w:jc w:val="left"/>
              <w:rPr>
                <w:b w:val="0"/>
              </w:rPr>
            </w:pPr>
          </w:p>
        </w:tc>
      </w:tr>
      <w:tr>
        <w:trPr>
          <w:trHeight w:hRule="atLeast" w:val="285"/>
        </w:trPr>
        <w:tc>
          <w:tcPr>
            <w:tcW w:type="dxa" w:w="4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B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00000">
            <w:pPr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Осуществляется ли проверка готовности к отопительному периоду потребителей тепловой энергии в соответствии с частью </w:t>
            </w:r>
            <w:r>
              <w:rPr>
                <w:rFonts w:ascii="Times New Roman" w:hAnsi="Times New Roman"/>
              </w:rPr>
              <w:t>IV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>Приказа Минэнерго России от 12.03.2013 № 103 "Об утверждении Правил оценки готовности к отопительному периоду"</w:t>
            </w:r>
            <w:r>
              <w:rPr>
                <w:rFonts w:ascii="Times New Roman" w:hAnsi="Times New Roman"/>
              </w:rPr>
              <w:t>?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Федеральный закон </w:t>
            </w:r>
            <w:r>
              <w:rPr>
                <w:rFonts w:ascii="Times New Roman" w:hAnsi="Times New Roman"/>
                <w:b w:val="0"/>
              </w:rPr>
              <w:t xml:space="preserve">№190-ФЗ ст. 20 </w:t>
            </w:r>
          </w:p>
          <w:p w14:paraId="AE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0"/>
              </w:rPr>
              <w:t>п. 6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F000000"/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000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100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2000000">
            <w:pPr>
              <w:pStyle w:val="Style_3"/>
              <w:ind/>
              <w:jc w:val="left"/>
              <w:rPr>
                <w:b w:val="0"/>
              </w:rPr>
            </w:pPr>
          </w:p>
        </w:tc>
      </w:tr>
      <w:tr>
        <w:trPr>
          <w:trHeight w:hRule="atLeast" w:val="285"/>
        </w:trPr>
        <w:tc>
          <w:tcPr>
            <w:tcW w:type="dxa" w:w="4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3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4000000">
            <w:pPr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Соблюдается ли вывод в ремонт и из эксплуатации источников тепловой энергии, функционирующих в режиме комбинированной выработки электрической и тепловой энергии, осуществляемый с учетом положений законодательства  Российской Федерации об электроэнергетике?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5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Федеральный закон </w:t>
            </w:r>
            <w:r>
              <w:rPr>
                <w:rFonts w:ascii="Times New Roman" w:hAnsi="Times New Roman"/>
                <w:b w:val="0"/>
              </w:rPr>
              <w:t>№190-ФЗ ст. 21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6000000">
            <w:pPr>
              <w:pStyle w:val="Style_3"/>
              <w:ind/>
              <w:jc w:val="left"/>
            </w:pPr>
          </w:p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7000000">
            <w:pPr>
              <w:pStyle w:val="Style_3"/>
              <w:ind/>
              <w:jc w:val="left"/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8000000">
            <w:pPr>
              <w:pStyle w:val="Style_3"/>
              <w:ind/>
              <w:jc w:val="left"/>
            </w:pP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9000000">
            <w:pPr>
              <w:pStyle w:val="Style_3"/>
              <w:ind/>
              <w:jc w:val="left"/>
            </w:pPr>
          </w:p>
        </w:tc>
      </w:tr>
      <w:tr>
        <w:trPr>
          <w:trHeight w:hRule="atLeast" w:val="285"/>
        </w:trPr>
        <w:tc>
          <w:tcPr>
            <w:tcW w:type="dxa" w:w="4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A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B00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Соблюдается ли порядок ограничений, прекращения подачи тепловой энергии, теплоносителя потребителям в случае ненадлежащего исполнения ими договора теплоснабжения, а также при выявлении бездоговорного потребления тепловой энергии?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C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Федеральный закон </w:t>
            </w:r>
            <w:r>
              <w:rPr>
                <w:rFonts w:ascii="Times New Roman" w:hAnsi="Times New Roman"/>
                <w:b w:val="0"/>
              </w:rPr>
              <w:t>№190-ФЗ ст. 22</w:t>
            </w:r>
          </w:p>
          <w:p w14:paraId="BD00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E00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F00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000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1000000">
            <w:pPr>
              <w:pStyle w:val="Style_3"/>
              <w:ind/>
              <w:jc w:val="left"/>
              <w:rPr>
                <w:b w:val="0"/>
              </w:rPr>
            </w:pPr>
          </w:p>
        </w:tc>
      </w:tr>
      <w:tr>
        <w:trPr>
          <w:trHeight w:hRule="atLeast" w:val="285"/>
        </w:trPr>
        <w:tc>
          <w:tcPr>
            <w:tcW w:type="dxa" w:w="4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2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3000000">
            <w:pPr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Имеется ли разрешение на допуск в эксплуатацию объектов теплоснабжения, теплопотребляющих установок?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4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Федеральный закон </w:t>
            </w:r>
            <w:r>
              <w:rPr>
                <w:rFonts w:ascii="Times New Roman" w:hAnsi="Times New Roman"/>
                <w:b w:val="0"/>
              </w:rPr>
              <w:t>№190-ФЗ ст. 22.1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500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600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700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8000000">
            <w:pPr>
              <w:pStyle w:val="Style_3"/>
              <w:ind/>
              <w:jc w:val="left"/>
              <w:rPr>
                <w:b w:val="0"/>
              </w:rPr>
            </w:pPr>
          </w:p>
        </w:tc>
      </w:tr>
      <w:tr>
        <w:trPr>
          <w:trHeight w:hRule="atLeast" w:val="868"/>
        </w:trPr>
        <w:tc>
          <w:tcPr>
            <w:tcW w:type="dxa" w:w="4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9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A000000">
            <w:pPr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Соблюдаются ли требования безопасности в сфере теплоснабжения:</w:t>
            </w:r>
          </w:p>
          <w:p w14:paraId="CB000000">
            <w:pPr>
              <w:numPr>
                <w:numId w:val="1"/>
              </w:numPr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Проходят ли </w:t>
            </w:r>
            <w:r>
              <w:rPr>
                <w:rFonts w:ascii="Times New Roman" w:hAnsi="Times New Roman"/>
              </w:rPr>
              <w:t xml:space="preserve">работники </w:t>
            </w:r>
            <w:r>
              <w:rPr>
                <w:rFonts w:ascii="Times New Roman" w:hAnsi="Times New Roman"/>
              </w:rPr>
              <w:t>теплоснабжающих организаций</w:t>
            </w:r>
            <w:r>
              <w:rPr>
                <w:rFonts w:ascii="Times New Roman" w:hAnsi="Times New Roman"/>
              </w:rPr>
              <w:t xml:space="preserve"> подготовку и получают ли подтверждение готовности к работе?</w:t>
            </w:r>
          </w:p>
          <w:p w14:paraId="CC000000">
            <w:pPr>
              <w:numPr>
                <w:numId w:val="2"/>
              </w:numPr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Соблюдаются ли требования к оборудованию объектов теплоснабжения и теплопотребляющих установок?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D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Федеральный закон </w:t>
            </w:r>
            <w:r>
              <w:rPr>
                <w:rFonts w:ascii="Times New Roman" w:hAnsi="Times New Roman"/>
                <w:b w:val="0"/>
              </w:rPr>
              <w:t>№190-ФЗ ст. 23.2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E000000">
            <w:pPr>
              <w:pStyle w:val="Style_3"/>
              <w:ind/>
              <w:jc w:val="left"/>
            </w:pPr>
          </w:p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F000000">
            <w:pPr>
              <w:pStyle w:val="Style_3"/>
              <w:ind/>
              <w:jc w:val="left"/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0000000">
            <w:pPr>
              <w:pStyle w:val="Style_3"/>
              <w:ind/>
              <w:jc w:val="left"/>
            </w:pP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1000000">
            <w:pPr>
              <w:pStyle w:val="Style_3"/>
              <w:ind/>
              <w:jc w:val="left"/>
            </w:pPr>
          </w:p>
        </w:tc>
      </w:tr>
      <w:tr>
        <w:trPr>
          <w:trHeight w:hRule="atLeast" w:val="285"/>
        </w:trPr>
        <w:tc>
          <w:tcPr>
            <w:tcW w:type="dxa" w:w="4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2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3000000">
            <w:pPr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Размещает ли единая теплоснабжающая организация, осуществляющая деятельность в ценовых зонах теплоснабжения, информацию о своей деятельности на своем официальном сайте в информационно-телекоммуникационной сети "Интернет"?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4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Федеральный закон </w:t>
            </w:r>
            <w:r>
              <w:rPr>
                <w:rFonts w:ascii="Times New Roman" w:hAnsi="Times New Roman"/>
                <w:b w:val="0"/>
              </w:rPr>
              <w:t>№190-ФЗ ст. 23.7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5000000">
            <w:pPr>
              <w:pStyle w:val="Style_3"/>
              <w:ind/>
              <w:jc w:val="left"/>
            </w:pPr>
          </w:p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6000000">
            <w:pPr>
              <w:pStyle w:val="Style_3"/>
              <w:ind/>
              <w:jc w:val="left"/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7000000">
            <w:pPr>
              <w:pStyle w:val="Style_3"/>
              <w:ind/>
              <w:jc w:val="left"/>
            </w:pP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8000000">
            <w:pPr>
              <w:pStyle w:val="Style_3"/>
              <w:ind/>
              <w:jc w:val="left"/>
            </w:pPr>
          </w:p>
        </w:tc>
      </w:tr>
      <w:tr>
        <w:tc>
          <w:tcPr>
            <w:tcW w:type="dxa" w:w="4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9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A000000">
            <w:pPr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Имеется ли </w:t>
            </w:r>
            <w:r>
              <w:rPr>
                <w:rFonts w:ascii="Times New Roman" w:hAnsi="Times New Roman"/>
              </w:rPr>
              <w:t xml:space="preserve">утвержденная схема </w:t>
            </w:r>
            <w:r>
              <w:rPr>
                <w:rFonts w:ascii="Times New Roman" w:hAnsi="Times New Roman"/>
              </w:rPr>
              <w:t xml:space="preserve">теплоснабжения </w:t>
            </w:r>
            <w:r>
              <w:rPr>
                <w:rFonts w:ascii="Times New Roman" w:hAnsi="Times New Roman"/>
              </w:rPr>
              <w:t xml:space="preserve">поселения, в том числе </w:t>
            </w:r>
            <w:r>
              <w:rPr>
                <w:rFonts w:ascii="Times New Roman" w:hAnsi="Times New Roman"/>
              </w:rPr>
              <w:t xml:space="preserve">присвоение статуса </w:t>
            </w:r>
            <w:r>
              <w:rPr>
                <w:rFonts w:ascii="Times New Roman" w:hAnsi="Times New Roman"/>
              </w:rPr>
              <w:t>единой теплоснабжающей организации</w:t>
            </w:r>
            <w:r>
              <w:rPr>
                <w:rFonts w:ascii="Times New Roman" w:hAnsi="Times New Roman"/>
              </w:rPr>
              <w:t>?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B000000">
            <w:pPr>
              <w:pStyle w:val="Style_3"/>
              <w:ind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</w:rPr>
              <w:t xml:space="preserve">Федеральный закон </w:t>
            </w:r>
            <w:r>
              <w:rPr>
                <w:rFonts w:ascii="Times New Roman" w:hAnsi="Times New Roman"/>
                <w:b w:val="0"/>
              </w:rPr>
              <w:t>№190-ФЗ ст. 6 п. 2 п.п. 6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C000000">
            <w:pPr>
              <w:pStyle w:val="Style_3"/>
              <w:ind/>
              <w:jc w:val="left"/>
            </w:pPr>
          </w:p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D000000">
            <w:pPr>
              <w:pStyle w:val="Style_3"/>
              <w:ind/>
              <w:jc w:val="left"/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E000000">
            <w:pPr>
              <w:pStyle w:val="Style_3"/>
              <w:ind/>
              <w:jc w:val="left"/>
            </w:pP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F000000">
            <w:pPr>
              <w:pStyle w:val="Style_3"/>
              <w:ind/>
              <w:jc w:val="left"/>
            </w:pPr>
          </w:p>
        </w:tc>
      </w:tr>
      <w:tr>
        <w:tc>
          <w:tcPr>
            <w:tcW w:type="dxa" w:w="4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0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1000000">
            <w:pPr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Соблюдаются ли обязательства по строительству, реконструкции и (или) модернизации объектов теплоснабжения, необходимых для развития, обеспечения надежности и энергетической эффективности системы теплоснабжения и определенных для нее в схеме теплоснабжения?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2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Федеральный закон </w:t>
            </w:r>
            <w:r>
              <w:rPr>
                <w:rFonts w:ascii="Times New Roman" w:hAnsi="Times New Roman"/>
                <w:b w:val="0"/>
              </w:rPr>
              <w:t>№190-ФЗ ст. 23.14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3000000">
            <w:pPr>
              <w:pStyle w:val="Style_3"/>
              <w:ind/>
              <w:jc w:val="left"/>
            </w:pPr>
          </w:p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4000000">
            <w:pPr>
              <w:pStyle w:val="Style_3"/>
              <w:ind/>
              <w:jc w:val="left"/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5000000">
            <w:pPr>
              <w:pStyle w:val="Style_3"/>
              <w:ind/>
              <w:jc w:val="left"/>
            </w:pP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6000000">
            <w:pPr>
              <w:pStyle w:val="Style_3"/>
              <w:ind/>
              <w:jc w:val="left"/>
            </w:pPr>
          </w:p>
        </w:tc>
      </w:tr>
      <w:tr>
        <w:tc>
          <w:tcPr>
            <w:tcW w:type="dxa" w:w="4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7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8000000">
            <w:pPr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Имеются ли  разногласия, возникающие между единой теплоснабжающей организацией и потребителем тепловой энергии при определении в договоре теплоснабжения значений параметров качества теплоснабжения и (или) параметров, отражающих допустимые перерывы в теплоснабжении, в ценовых зонах теплоснабжения, в порядке обязательного досудебного урегулирования споров и определение значений таких параметров, рекомендуемых для включения в договор теплоснабжения?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9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Федеральный закон </w:t>
            </w:r>
            <w:r>
              <w:rPr>
                <w:rFonts w:ascii="Times New Roman" w:hAnsi="Times New Roman"/>
                <w:b w:val="0"/>
              </w:rPr>
              <w:t xml:space="preserve">№190-ФЗ ст. </w:t>
            </w: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A000000">
            <w:pPr>
              <w:pStyle w:val="Style_3"/>
              <w:ind/>
              <w:jc w:val="left"/>
            </w:pPr>
          </w:p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B000000">
            <w:pPr>
              <w:pStyle w:val="Style_3"/>
              <w:ind/>
              <w:jc w:val="left"/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C000000">
            <w:pPr>
              <w:pStyle w:val="Style_3"/>
              <w:ind/>
              <w:jc w:val="left"/>
            </w:pP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D000000">
            <w:pPr>
              <w:pStyle w:val="Style_3"/>
              <w:ind/>
              <w:jc w:val="left"/>
            </w:pPr>
          </w:p>
        </w:tc>
      </w:tr>
      <w:tr>
        <w:tc>
          <w:tcPr>
            <w:tcW w:type="dxa" w:w="4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E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F000000">
            <w:pPr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Соблюдаются ли параметры качества теплоснабжения и параметры, отражающие</w:t>
            </w:r>
          </w:p>
          <w:p w14:paraId="F0000000">
            <w:pPr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допустимые перерывы в теплоснабжении?</w:t>
            </w:r>
          </w:p>
          <w:p w14:paraId="F100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2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Постановление Правительства РФ от 08.08.2012 №808 (ред. от 25.11.2021) «Об организации теплоснабжения в Российской Федерации и о внесении изменений в некоторые акты Правительства Российской Федерации» (вместе с «Правилами организации теплоснабжения в Российской Федерации») часть </w:t>
            </w:r>
            <w:r>
              <w:rPr>
                <w:rFonts w:ascii="Times New Roman" w:hAnsi="Times New Roman"/>
              </w:rPr>
              <w:t>X(1)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3000000">
            <w:pPr>
              <w:pStyle w:val="Style_3"/>
              <w:ind/>
              <w:jc w:val="left"/>
            </w:pPr>
          </w:p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4000000">
            <w:pPr>
              <w:pStyle w:val="Style_3"/>
              <w:ind/>
              <w:jc w:val="left"/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5000000">
            <w:pPr>
              <w:pStyle w:val="Style_3"/>
              <w:ind/>
              <w:jc w:val="left"/>
            </w:pP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6000000">
            <w:pPr>
              <w:pStyle w:val="Style_3"/>
              <w:ind/>
              <w:jc w:val="left"/>
            </w:pPr>
          </w:p>
        </w:tc>
      </w:tr>
      <w:tr>
        <w:tc>
          <w:tcPr>
            <w:tcW w:type="dxa" w:w="4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7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8000000">
            <w:pPr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Находятся ли системы теплоснабжения жилых зданий в технически исправном состоянии и эксплуатируются ли в соответствии с нормативными документами по теплоснабжению (вентиляции), утвержденными в установленном порядке?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9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Постановление Госстроя РФ от 27.09.2003 №170 «Об утверждении Правил и норм технической эксплуатации жилищного фонда» (далее – Правила №170) </w:t>
            </w:r>
            <w:r>
              <w:rPr>
                <w:rFonts w:ascii="Times New Roman" w:hAnsi="Times New Roman"/>
              </w:rPr>
              <w:t xml:space="preserve">раздел </w:t>
            </w:r>
            <w:r>
              <w:t xml:space="preserve">V </w:t>
            </w:r>
          </w:p>
          <w:p w14:paraId="FA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t>п. 5.1</w:t>
            </w:r>
            <w:r>
              <w:rPr>
                <w:rFonts w:ascii="Times New Roman" w:hAnsi="Times New Roman"/>
              </w:rPr>
              <w:t xml:space="preserve"> п.п. </w:t>
            </w:r>
            <w:r>
              <w:rPr>
                <w:rFonts w:ascii="Times New Roman" w:hAnsi="Times New Roman"/>
              </w:rPr>
              <w:t>5.1.1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B000000">
            <w:pPr>
              <w:pStyle w:val="Style_3"/>
              <w:ind/>
              <w:jc w:val="left"/>
            </w:pPr>
          </w:p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C000000">
            <w:pPr>
              <w:pStyle w:val="Style_3"/>
              <w:ind/>
              <w:jc w:val="left"/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D000000">
            <w:pPr>
              <w:pStyle w:val="Style_3"/>
              <w:ind/>
              <w:jc w:val="left"/>
            </w:pP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E000000">
            <w:pPr>
              <w:pStyle w:val="Style_3"/>
              <w:ind/>
              <w:jc w:val="left"/>
            </w:pPr>
          </w:p>
        </w:tc>
      </w:tr>
      <w:tr>
        <w:tc>
          <w:tcPr>
            <w:tcW w:type="dxa" w:w="4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F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0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Производится ли своевременно наладка, ремонт и реконструкция инженерных систем и оборудования?</w:t>
            </w:r>
          </w:p>
          <w:p w14:paraId="01010000">
            <w:pPr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Совершенствуется ли учет и контроль расхода топливно-энергетических ресурсов?</w:t>
            </w:r>
          </w:p>
          <w:p w14:paraId="02010000">
            <w:pPr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Внедряются ли средства автоматического регулирования и диспетчеризацию систем?</w:t>
            </w:r>
          </w:p>
          <w:p w14:paraId="03010000">
            <w:pPr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Используются ли прогрессивные технические решения?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4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раздел </w:t>
            </w:r>
            <w:r>
              <w:t>V п. 5.1</w:t>
            </w:r>
          </w:p>
          <w:p w14:paraId="05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п.п. 5.1.2 Правил №170</w:t>
            </w:r>
          </w:p>
          <w:p w14:paraId="06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7010000">
            <w:pPr>
              <w:pStyle w:val="Style_3"/>
              <w:ind/>
              <w:jc w:val="left"/>
            </w:pPr>
          </w:p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8010000">
            <w:pPr>
              <w:pStyle w:val="Style_3"/>
              <w:ind/>
              <w:jc w:val="left"/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9010000">
            <w:pPr>
              <w:pStyle w:val="Style_3"/>
              <w:ind/>
              <w:jc w:val="left"/>
            </w:pP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A010000">
            <w:pPr>
              <w:pStyle w:val="Style_3"/>
              <w:ind/>
              <w:jc w:val="left"/>
            </w:pPr>
          </w:p>
        </w:tc>
      </w:tr>
      <w:tr>
        <w:tc>
          <w:tcPr>
            <w:tcW w:type="dxa" w:w="4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B0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C010000">
            <w:pPr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Организуется ли своевременное проведение планово-предупредительного ремонта и содержание в исправности оборудования и систем?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D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раздел </w:t>
            </w:r>
            <w:r>
              <w:t>V п. 5.1</w:t>
            </w:r>
          </w:p>
          <w:p w14:paraId="0E0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</w:t>
            </w:r>
            <w:r>
              <w:rPr>
                <w:rFonts w:ascii="Times New Roman" w:hAnsi="Times New Roman"/>
              </w:rPr>
              <w:t>п. 5.1.3 Правил №170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F010000">
            <w:pPr>
              <w:pStyle w:val="Style_3"/>
              <w:ind/>
              <w:jc w:val="left"/>
            </w:pPr>
          </w:p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0010000">
            <w:pPr>
              <w:pStyle w:val="Style_3"/>
              <w:ind/>
              <w:jc w:val="left"/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1010000">
            <w:pPr>
              <w:pStyle w:val="Style_3"/>
              <w:ind/>
              <w:jc w:val="left"/>
            </w:pP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2010000">
            <w:pPr>
              <w:pStyle w:val="Style_3"/>
              <w:ind/>
              <w:jc w:val="left"/>
            </w:pPr>
          </w:p>
        </w:tc>
      </w:tr>
      <w:tr>
        <w:tc>
          <w:tcPr>
            <w:tcW w:type="dxa" w:w="4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30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4010000">
            <w:pPr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Устраняются ли выявленные аварии во внутриквартальных тепловых сетях (до колодца или до тепловой камеры)?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5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раздел </w:t>
            </w:r>
            <w:r>
              <w:t>V п. 5.1</w:t>
            </w:r>
          </w:p>
          <w:p w14:paraId="160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п.п. </w:t>
            </w:r>
            <w:r>
              <w:rPr>
                <w:rFonts w:ascii="Times New Roman" w:hAnsi="Times New Roman"/>
              </w:rPr>
              <w:t>5.1.4 Правил №170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7010000">
            <w:pPr>
              <w:pStyle w:val="Style_3"/>
              <w:ind/>
              <w:jc w:val="left"/>
            </w:pPr>
          </w:p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8010000">
            <w:pPr>
              <w:pStyle w:val="Style_3"/>
              <w:ind/>
              <w:jc w:val="left"/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9010000">
            <w:pPr>
              <w:pStyle w:val="Style_3"/>
              <w:ind/>
              <w:jc w:val="left"/>
            </w:pP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A010000">
            <w:pPr>
              <w:pStyle w:val="Style_3"/>
              <w:ind/>
              <w:jc w:val="left"/>
            </w:pPr>
          </w:p>
        </w:tc>
      </w:tr>
      <w:tr>
        <w:tc>
          <w:tcPr>
            <w:tcW w:type="dxa" w:w="4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B0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C010000">
            <w:pPr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Разрабатываются и согласовываются ли теплоснабжающей организацией (з</w:t>
            </w:r>
            <w:r>
              <w:rPr>
                <w:rFonts w:ascii="Times New Roman" w:hAnsi="Times New Roman"/>
              </w:rPr>
              <w:t>а месяц до окончания текущего отопительного периода)</w:t>
            </w:r>
          </w:p>
          <w:p w14:paraId="1D010000">
            <w:pPr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графики работ по профилактике и ремонту тепловых сетей, тепловых пунктов и систем теплопотребления с извещением жителей за два дня об остановке?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E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раздел </w:t>
            </w:r>
            <w:r>
              <w:t>V п. 5.1</w:t>
            </w:r>
          </w:p>
          <w:p w14:paraId="1F0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</w:t>
            </w:r>
            <w:r>
              <w:rPr>
                <w:rFonts w:ascii="Times New Roman" w:hAnsi="Times New Roman"/>
              </w:rPr>
              <w:t>п. 5.1.5 Правил №170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0010000">
            <w:pPr>
              <w:pStyle w:val="Style_3"/>
              <w:ind/>
              <w:jc w:val="left"/>
            </w:pPr>
          </w:p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1010000">
            <w:pPr>
              <w:pStyle w:val="Style_3"/>
              <w:ind/>
              <w:jc w:val="left"/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2010000">
            <w:pPr>
              <w:pStyle w:val="Style_3"/>
              <w:ind/>
              <w:jc w:val="left"/>
            </w:pP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3010000">
            <w:pPr>
              <w:pStyle w:val="Style_3"/>
              <w:ind/>
              <w:jc w:val="left"/>
            </w:pPr>
          </w:p>
        </w:tc>
      </w:tr>
      <w:tr>
        <w:tc>
          <w:tcPr>
            <w:tcW w:type="dxa" w:w="4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40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type="dxa" w:w="3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5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Производятся ли ежегодно испытания на прочность и плотность оборудования систем отопления, вентиляции, горячего водоснабжения и центрального кондиционирования:</w:t>
            </w:r>
          </w:p>
          <w:p w14:paraId="26010000">
            <w:pPr>
              <w:pStyle w:val="Style_3"/>
              <w:numPr>
                <w:numId w:val="3"/>
              </w:numPr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после окончания отопительного периода?</w:t>
            </w:r>
          </w:p>
          <w:p w14:paraId="27010000">
            <w:pPr>
              <w:pStyle w:val="Style_3"/>
              <w:numPr>
                <w:numId w:val="4"/>
              </w:numPr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перед началом отопительного периода после окончания ремонта?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8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раздел </w:t>
            </w:r>
            <w:r>
              <w:t>V п. 5.1</w:t>
            </w:r>
          </w:p>
          <w:p w14:paraId="290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</w:t>
            </w:r>
            <w:r>
              <w:rPr>
                <w:rFonts w:ascii="Times New Roman" w:hAnsi="Times New Roman"/>
              </w:rPr>
              <w:t>п. 5.1.6 Правил №170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A010000">
            <w:pPr>
              <w:pStyle w:val="Style_3"/>
              <w:ind/>
              <w:jc w:val="left"/>
            </w:pPr>
          </w:p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B010000">
            <w:pPr>
              <w:pStyle w:val="Style_3"/>
              <w:ind/>
              <w:jc w:val="left"/>
            </w:pP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C010000">
            <w:pPr>
              <w:pStyle w:val="Style_3"/>
              <w:ind/>
              <w:jc w:val="left"/>
            </w:pP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D010000">
            <w:pPr>
              <w:pStyle w:val="Style_3"/>
              <w:ind/>
              <w:jc w:val="left"/>
            </w:pPr>
          </w:p>
        </w:tc>
      </w:tr>
    </w:tbl>
    <w:p w14:paraId="2E010000">
      <w:pPr>
        <w:ind/>
        <w:jc w:val="left"/>
      </w:pPr>
    </w:p>
    <w:p w14:paraId="2F010000">
      <w:pPr>
        <w:ind/>
        <w:jc w:val="left"/>
      </w:pPr>
      <w:r>
        <w:t>«____»__________________20__г.</w:t>
      </w:r>
    </w:p>
    <w:p w14:paraId="30010000">
      <w:pPr>
        <w:ind/>
        <w:jc w:val="left"/>
      </w:pPr>
      <w:r>
        <w:rPr>
          <w:sz w:val="20"/>
        </w:rPr>
        <w:t xml:space="preserve">  (дата заполнения проверочного листа)</w:t>
      </w:r>
    </w:p>
    <w:p w14:paraId="31010000">
      <w:pPr>
        <w:ind/>
        <w:jc w:val="left"/>
      </w:pPr>
    </w:p>
    <w:p w14:paraId="32010000">
      <w:pPr>
        <w:ind/>
        <w:jc w:val="left"/>
      </w:pPr>
      <w:r>
        <w:t xml:space="preserve">_________________________       __________       ______________________________________ </w:t>
      </w:r>
    </w:p>
    <w:p w14:paraId="33010000">
      <w:pPr>
        <w:ind/>
        <w:jc w:val="left"/>
      </w:pPr>
      <w:r>
        <w:rPr>
          <w:sz w:val="20"/>
        </w:rPr>
        <w:t>(должность лица, заполнившего                  (подпись)                 (фамилия, имя, отчество (при наличии) лица,</w:t>
      </w:r>
    </w:p>
    <w:p w14:paraId="34010000">
      <w:pPr>
        <w:ind/>
        <w:jc w:val="left"/>
      </w:pPr>
      <w:r>
        <w:rPr>
          <w:sz w:val="20"/>
        </w:rPr>
        <w:t xml:space="preserve"> </w:t>
      </w:r>
      <w:r>
        <w:rPr>
          <w:sz w:val="20"/>
        </w:rPr>
        <w:t>проверочный лист)</w:t>
      </w:r>
      <w:r>
        <w:rPr>
          <w:sz w:val="20"/>
        </w:rPr>
        <w:t xml:space="preserve">                                                                                заполнившего проверочный лист) </w:t>
      </w:r>
    </w:p>
    <w:sectPr>
      <w:footerReference r:id="rId1" w:type="default"/>
      <w:pgSz w:h="16838" w:orient="portrait" w:w="11906"/>
      <w:pgMar w:bottom="1693" w:footer="1134" w:header="708" w:left="1134" w:right="1134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</w:pPr>
  </w:p>
</w:ftr>
</file>

<file path=word/numbering.xml><?xml version="1.0" encoding="utf-8"?>
<w:numbering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abstractNum w:abstractNumId="0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2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3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9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widowControl w:val="1"/>
      <w:ind/>
    </w:pPr>
    <w:rPr>
      <w:rFonts w:ascii="PT Astra Serif" w:hAnsi="PT Astra Serif"/>
      <w:color w:val="000000"/>
      <w:sz w:val="24"/>
    </w:rPr>
  </w:style>
  <w:style w:default="1" w:styleId="Style_4_ch" w:type="character">
    <w:name w:val="Normal"/>
    <w:link w:val="Style_4"/>
    <w:rPr>
      <w:rFonts w:ascii="PT Astra Serif" w:hAnsi="PT Astra Serif"/>
      <w:color w:val="000000"/>
      <w:sz w:val="24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Body Text"/>
    <w:basedOn w:val="Style_4"/>
    <w:link w:val="Style_9_ch"/>
    <w:pPr>
      <w:spacing w:after="140" w:before="0" w:line="276" w:lineRule="auto"/>
      <w:ind/>
    </w:pPr>
  </w:style>
  <w:style w:styleId="Style_9_ch" w:type="character">
    <w:name w:val="Body Text"/>
    <w:basedOn w:val="Style_4_ch"/>
    <w:link w:val="Style_9"/>
  </w:style>
  <w:style w:styleId="Style_1" w:type="paragraph">
    <w:name w:val="footer"/>
    <w:basedOn w:val="Style_10"/>
    <w:link w:val="Style_1_ch"/>
  </w:style>
  <w:style w:styleId="Style_1_ch" w:type="character">
    <w:name w:val="footer"/>
    <w:basedOn w:val="Style_10_ch"/>
    <w:link w:val="Style_1"/>
  </w:style>
  <w:style w:styleId="Style_11" w:type="paragraph">
    <w:name w:val="heading 3"/>
    <w:next w:val="Style_4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List"/>
    <w:basedOn w:val="Style_9"/>
    <w:link w:val="Style_13_ch"/>
    <w:rPr>
      <w:rFonts w:ascii="PT Astra Serif" w:hAnsi="PT Astra Serif"/>
    </w:rPr>
  </w:style>
  <w:style w:styleId="Style_13_ch" w:type="character">
    <w:name w:val="List"/>
    <w:basedOn w:val="Style_9_ch"/>
    <w:link w:val="Style_13"/>
    <w:rPr>
      <w:rFonts w:ascii="PT Astra Serif" w:hAnsi="PT Astra Serif"/>
    </w:rPr>
  </w:style>
  <w:style w:styleId="Style_14" w:type="paragraph">
    <w:name w:val="Заголовок таблицы"/>
    <w:basedOn w:val="Style_3"/>
    <w:link w:val="Style_14_ch"/>
    <w:pPr>
      <w:ind/>
      <w:jc w:val="center"/>
    </w:pPr>
    <w:rPr>
      <w:b w:val="1"/>
    </w:rPr>
  </w:style>
  <w:style w:styleId="Style_14_ch" w:type="character">
    <w:name w:val="Заголовок таблицы"/>
    <w:basedOn w:val="Style_3_ch"/>
    <w:link w:val="Style_14"/>
    <w:rPr>
      <w:b w:val="1"/>
    </w:rPr>
  </w:style>
  <w:style w:styleId="Style_3" w:type="paragraph">
    <w:name w:val="Содержимое таблицы"/>
    <w:basedOn w:val="Style_4"/>
    <w:link w:val="Style_3_ch"/>
  </w:style>
  <w:style w:styleId="Style_3_ch" w:type="character">
    <w:name w:val="Содержимое таблицы"/>
    <w:basedOn w:val="Style_4_ch"/>
    <w:link w:val="Style_3"/>
  </w:style>
  <w:style w:styleId="Style_15" w:type="paragraph">
    <w:name w:val="heading 5"/>
    <w:next w:val="Style_4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heading 1"/>
    <w:next w:val="Style_4"/>
    <w:link w:val="Style_1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4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0"/>
    </w:rPr>
  </w:style>
  <w:style w:styleId="Style_20_ch" w:type="character">
    <w:name w:val="Header and Footer"/>
    <w:link w:val="Style_20"/>
    <w:rPr>
      <w:rFonts w:ascii="XO Thames" w:hAnsi="XO Thames"/>
      <w:sz w:val="20"/>
    </w:rPr>
  </w:style>
  <w:style w:styleId="Style_21" w:type="paragraph">
    <w:name w:val="toc 9"/>
    <w:next w:val="Style_4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Указатель"/>
    <w:basedOn w:val="Style_4"/>
    <w:link w:val="Style_22_ch"/>
    <w:rPr>
      <w:rFonts w:ascii="PT Astra Serif" w:hAnsi="PT Astra Serif"/>
    </w:rPr>
  </w:style>
  <w:style w:styleId="Style_22_ch" w:type="character">
    <w:name w:val="Указатель"/>
    <w:basedOn w:val="Style_4_ch"/>
    <w:link w:val="Style_22"/>
    <w:rPr>
      <w:rFonts w:ascii="PT Astra Serif" w:hAnsi="PT Astra Serif"/>
    </w:rPr>
  </w:style>
  <w:style w:styleId="Style_23" w:type="paragraph">
    <w:name w:val="toc 8"/>
    <w:next w:val="Style_4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10" w:type="paragraph">
    <w:name w:val="Верхний и нижний колонтитулы"/>
    <w:basedOn w:val="Style_4"/>
    <w:link w:val="Style_10_ch"/>
    <w:pPr>
      <w:tabs>
        <w:tab w:leader="none" w:pos="4819" w:val="center"/>
        <w:tab w:leader="none" w:pos="9638" w:val="right"/>
      </w:tabs>
      <w:ind/>
    </w:pPr>
  </w:style>
  <w:style w:styleId="Style_10_ch" w:type="character">
    <w:name w:val="Верхний и нижний колонтитулы"/>
    <w:basedOn w:val="Style_4_ch"/>
    <w:link w:val="Style_10"/>
  </w:style>
  <w:style w:styleId="Style_24" w:type="paragraph">
    <w:name w:val="Default Paragraph Font"/>
    <w:link w:val="Style_24_ch"/>
  </w:style>
  <w:style w:styleId="Style_24_ch" w:type="character">
    <w:name w:val="Default Paragraph Font"/>
    <w:link w:val="Style_24"/>
  </w:style>
  <w:style w:styleId="Style_25" w:type="paragraph">
    <w:name w:val="Заголовок"/>
    <w:basedOn w:val="Style_4"/>
    <w:next w:val="Style_9"/>
    <w:link w:val="Style_25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25_ch" w:type="character">
    <w:name w:val="Заголовок"/>
    <w:basedOn w:val="Style_4_ch"/>
    <w:link w:val="Style_25"/>
    <w:rPr>
      <w:rFonts w:ascii="PT Astra Serif" w:hAnsi="PT Astra Serif"/>
      <w:sz w:val="28"/>
    </w:rPr>
  </w:style>
  <w:style w:styleId="Style_26" w:type="paragraph">
    <w:name w:val="toc 5"/>
    <w:next w:val="Style_4"/>
    <w:link w:val="Style_2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7" w:type="paragraph">
    <w:name w:val="Subtitle"/>
    <w:next w:val="Style_4"/>
    <w:link w:val="Style_2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7_ch" w:type="character">
    <w:name w:val="Subtitle"/>
    <w:link w:val="Style_27"/>
    <w:rPr>
      <w:rFonts w:ascii="XO Thames" w:hAnsi="XO Thames"/>
      <w:i w:val="1"/>
      <w:sz w:val="24"/>
    </w:rPr>
  </w:style>
  <w:style w:styleId="Style_28" w:type="paragraph">
    <w:name w:val="toc 10"/>
    <w:next w:val="Style_4"/>
    <w:link w:val="Style_28_ch"/>
    <w:uiPriority w:val="39"/>
    <w:pPr>
      <w:ind w:firstLine="0" w:left="1800"/>
      <w:jc w:val="left"/>
    </w:pPr>
    <w:rPr>
      <w:rFonts w:ascii="XO Thames" w:hAnsi="XO Thames"/>
      <w:sz w:val="28"/>
    </w:rPr>
  </w:style>
  <w:style w:styleId="Style_28_ch" w:type="character">
    <w:name w:val="toc 10"/>
    <w:link w:val="Style_28"/>
    <w:rPr>
      <w:rFonts w:ascii="XO Thames" w:hAnsi="XO Thames"/>
      <w:sz w:val="28"/>
    </w:rPr>
  </w:style>
  <w:style w:styleId="Style_29" w:type="paragraph">
    <w:name w:val="Title"/>
    <w:next w:val="Style_4"/>
    <w:link w:val="Style_2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9_ch" w:type="character">
    <w:name w:val="Title"/>
    <w:link w:val="Style_29"/>
    <w:rPr>
      <w:rFonts w:ascii="XO Thames" w:hAnsi="XO Thames"/>
      <w:b w:val="1"/>
      <w:caps w:val="1"/>
      <w:sz w:val="40"/>
    </w:rPr>
  </w:style>
  <w:style w:styleId="Style_30" w:type="paragraph">
    <w:name w:val="heading 4"/>
    <w:next w:val="Style_4"/>
    <w:link w:val="Style_3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0_ch" w:type="character">
    <w:name w:val="heading 4"/>
    <w:link w:val="Style_30"/>
    <w:rPr>
      <w:rFonts w:ascii="XO Thames" w:hAnsi="XO Thames"/>
      <w:b w:val="1"/>
      <w:sz w:val="24"/>
    </w:rPr>
  </w:style>
  <w:style w:styleId="Style_31" w:type="paragraph">
    <w:name w:val="heading 2"/>
    <w:next w:val="Style_4"/>
    <w:link w:val="Style_3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1_ch" w:type="character">
    <w:name w:val="heading 2"/>
    <w:link w:val="Style_31"/>
    <w:rPr>
      <w:rFonts w:ascii="XO Thames" w:hAnsi="XO Thames"/>
      <w:b w:val="1"/>
      <w:sz w:val="28"/>
    </w:rPr>
  </w:style>
  <w:style w:styleId="Style_32" w:type="paragraph">
    <w:name w:val="caption"/>
    <w:basedOn w:val="Style_4"/>
    <w:link w:val="Style_32_ch"/>
    <w:pPr>
      <w:spacing w:after="120" w:before="120"/>
      <w:ind/>
    </w:pPr>
    <w:rPr>
      <w:rFonts w:ascii="PT Astra Serif" w:hAnsi="PT Astra Serif"/>
      <w:i w:val="1"/>
      <w:sz w:val="24"/>
    </w:rPr>
  </w:style>
  <w:style w:styleId="Style_32_ch" w:type="character">
    <w:name w:val="caption"/>
    <w:basedOn w:val="Style_4_ch"/>
    <w:link w:val="Style_32"/>
    <w:rPr>
      <w:rFonts w:ascii="PT Astra Serif" w:hAnsi="PT Astra Serif"/>
      <w:i w:val="1"/>
      <w:sz w:val="24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numbering.xml" Type="http://schemas.openxmlformats.org/officeDocument/2006/relationships/numbering"/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2022-02-04T13:41:28Z</dcterms:modified>
</cp:coreProperties>
</file>