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lang w:val="ru-RU"/>
        </w:rPr>
        <w:t>Информация о результатах проведения выездной плановой проверки в Муниципальном казенном учреждении культуры «Молодежный центр «Комсомолец»</w:t>
      </w:r>
    </w:p>
    <w:p>
      <w:pPr>
        <w:pStyle w:val="Style18"/>
        <w:widowControl/>
        <w:pBdr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 пунктом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Планом проведения плановых проверок на 2021 год, утвержденным распоряжением администрации города Курчатова от 28.12.2020 № 486-р (в ред. от 09.07.2021) комиссией по проведению плановой проверки проведена выездная плановая проверка в Муниципальном казенном учреждении культуры «Молодежный центр «Комсомолец».</w:t>
        <w:br/>
        <w:t>Предмет проведения плановой проверки: «Проверка осуществления закупок товаров, работ, услуг в Муниципальном казенном учреждении культуры «Молодежный центр «Комсомолец».</w:t>
        <w:br/>
        <w:t>По итогам проведения плановой выездной проверки осуществления закупок товаров, работ, услуг в Муниципальном казенном учреждении культуры «Молодежный центр «Комсомолец» (далее — субъект контроля) комиссия по проведению плановой проверки пришла к следующим выводам:</w:t>
        <w:br/>
        <w:t>Субъектом контроля нарушены нормы законодательства Российской Федерации о контрактной системе в сфере закупок, а именно части 3 статьи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пункта 12 Правил ведения реестра контрактов, заключенных заказчиками, утвержденных Постановлением Правительства РФ от 28.11.2013 № 1084, выразившиеся в несвоевременном направлении субъектом контроля информации, подлежащей включению в реестр контрактов, заключенных заказчиками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при осуществлении закупок по контрактам: № 0344300105920000001 от 02.03.2020 на сумму 1639276,10 рублей; № 182 от 30.12.2020 на сумму 34623,73 рубля.</w:t>
        <w:br/>
        <w:t>Материалы о результатах проведения выездной плановой проверки направлены в комитет финансово-бюджетного контроля Курской области.</w:t>
        <w:br/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(www.zakupki.gov.ru).</w:t>
      </w:r>
    </w:p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Roboto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LibreOffice/7.1.2.2$Windows_X86_64 LibreOffice_project/8a45595d069ef5570103caea1b71cc9d82b2aae4</Application>
  <AppVersion>15.0000</AppVersion>
  <Pages>1</Pages>
  <Words>345</Words>
  <Characters>2548</Characters>
  <CharactersWithSpaces>2892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2023-05-23T14:56:49Z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