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pPr>
      <w:r>
        <w:drawing>
          <wp:anchor behindDoc="0" distT="28575" distB="28575" distL="28575" distR="28575" simplePos="0" locked="0" layoutInCell="0" allowOverlap="1" relativeHeight="2">
            <wp:simplePos x="0" y="0"/>
            <wp:positionH relativeFrom="column">
              <wp:align>left</wp:align>
            </wp:positionH>
            <wp:positionV relativeFrom="line">
              <wp:align>bottom</wp:align>
            </wp:positionV>
            <wp:extent cx="2876550" cy="2171700"/>
            <wp:effectExtent l="0" t="0" r="0" b="0"/>
            <wp:wrapSquare wrapText="largest"/>
            <wp:docPr id="1" name="Изображение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a:hlinkClick r:id="rId3"/>
                    </pic:cNvPr>
                    <pic:cNvPicPr>
                      <a:picLocks noChangeAspect="1" noChangeArrowheads="1"/>
                    </pic:cNvPicPr>
                  </pic:nvPicPr>
                  <pic:blipFill>
                    <a:blip r:embed="rId2"/>
                    <a:srcRect l="-353" t="-468" r="-353" b="-468"/>
                    <a:stretch>
                      <a:fillRect/>
                    </a:stretch>
                  </pic:blipFill>
                  <pic:spPr bwMode="auto">
                    <a:xfrm>
                      <a:off x="0" y="0"/>
                      <a:ext cx="2876550" cy="2171700"/>
                    </a:xfrm>
                    <a:prstGeom prst="rect">
                      <a:avLst/>
                    </a:prstGeom>
                    <a:ln w="19050">
                      <a:solidFill>
                        <a:srgbClr val="C0C0C0"/>
                      </a:solidFill>
                    </a:ln>
                  </pic:spPr>
                </pic:pic>
              </a:graphicData>
            </a:graphic>
          </wp:anchor>
        </w:drawing>
      </w:r>
      <w:r>
        <w:rPr>
          <w:caps w:val="false"/>
          <w:smallCaps w:val="false"/>
          <w:color w:val="000000"/>
          <w:spacing w:val="0"/>
        </w:rPr>
        <w:t> </w:t>
      </w:r>
      <w:r>
        <w:rPr>
          <w:rFonts w:ascii="Roboto;sans-serif" w:hAnsi="Roboto;sans-serif"/>
          <w:b w:val="false"/>
          <w:i w:val="false"/>
          <w:caps w:val="false"/>
          <w:smallCaps w:val="false"/>
          <w:color w:val="000000"/>
          <w:spacing w:val="0"/>
          <w:sz w:val="23"/>
        </w:rPr>
        <w:t>На состоявшемся недавно совместном заседании комиссии городской Думы шестого созыва по законности и правовому регулированию, вопросам экономической политики, вопросам социальной политики и охраны здоровья, вопросам молодежи и спорта рассматривалась обширная повестка дня. Более трех часов продолжалось обсуждение вопросов, включенных в повестку, однако решения по некоторым вопросам были отложены для дополнительной проработки.</w:t>
      </w:r>
      <w:r>
        <w:rPr/>
        <w:br/>
      </w:r>
      <w:r>
        <w:rPr>
          <w:rFonts w:ascii="Roboto;sans-serif" w:hAnsi="Roboto;sans-serif"/>
          <w:b w:val="false"/>
          <w:i w:val="false"/>
          <w:caps w:val="false"/>
          <w:smallCaps w:val="false"/>
          <w:color w:val="000000"/>
          <w:spacing w:val="0"/>
          <w:sz w:val="23"/>
        </w:rPr>
        <w:t>Одна из тем, вызвавшая активное обсуждение народных избранников, - о реализации приоритетного национального проекта «Формирование городской среды». Это один из крупнейших проектов в стране, инициированный партией «Единая Россия». Его реализация рассчитана на пять лет, вплоть до 2022 года. Обозначенный вопрос стал предметом рассмотрения на совещании, которое провела первый заместитель Главы администрации города Курчатова Р.А. Кузнецова с представителями Управления городского хозяйства и в дальнейшем на еженедельном совещании с руководителями управляющих организаций.</w:t>
      </w:r>
      <w:r>
        <w:rPr/>
        <w:br/>
      </w:r>
      <w:r>
        <w:rPr>
          <w:rFonts w:ascii="Roboto;sans-serif" w:hAnsi="Roboto;sans-serif"/>
          <w:b w:val="false"/>
          <w:i w:val="false"/>
          <w:caps w:val="false"/>
          <w:smallCaps w:val="false"/>
          <w:color w:val="000000"/>
          <w:spacing w:val="0"/>
          <w:sz w:val="23"/>
        </w:rPr>
        <w:t>Создание благоприятной современной городской среды, формирование системы инструментов общественного участия и поддержки инициатив граждан в принятии решений по вопросам благоустройства городов - такие цели определены разработчиками проекта. Рената Анатольевна пояснила, что проект состоит из двух блоков: первый касается благоустройства придомовых территорий, второй направлен на создание городских зон отдыха, комфортных для граждан. Запросы и пожелания граждан будут выявлены через опросы, анкетирование, мониторинги. Следует знать, что включение дворов в программу ремонта и благоустройства в рамках проекта возможно только по инициативе жителей. А потому МКУ «УГХ г. Курчатова» разработан график проведения общих собраний собственников помещений в многоквартирных домах по формированию предложений по включению дворовой территории, к которой прилегает многоквартирный дом, в муниципальную программу по формированию комфортной городской среды на 2017 год.</w:t>
      </w:r>
      <w:r>
        <w:rPr/>
        <w:br/>
      </w:r>
      <w:r>
        <w:rPr>
          <w:rFonts w:ascii="Roboto;sans-serif" w:hAnsi="Roboto;sans-serif"/>
          <w:b w:val="false"/>
          <w:i w:val="false"/>
          <w:caps w:val="false"/>
          <w:smallCaps w:val="false"/>
          <w:color w:val="000000"/>
          <w:spacing w:val="0"/>
          <w:sz w:val="23"/>
        </w:rPr>
        <w:t>Проведение собраний запланировано уже с третьего апреля текущего года. На них будут обсуждаться не только пожелания жильцов многоквартирных домов, но и суммы, которые они намерены вложить (наряду с федеральными средствами, финансами субъекта, муниципалитета, в отдельных случаях и средства владельцев павильонов, киосков и пр., если таковые имеются) на реализацию проекта. По условиям проекта, если собственник жилья не пожелает внести собственные средства, будет выполнен минимальный перечень работ – асфальтирование проездов, обустройство освещения, ремонт урн и скамеек.</w:t>
      </w:r>
      <w:r>
        <w:rPr/>
        <w:br/>
      </w:r>
      <w:r>
        <w:rPr>
          <w:rFonts w:ascii="Roboto;sans-serif" w:hAnsi="Roboto;sans-serif"/>
          <w:b w:val="false"/>
          <w:i w:val="false"/>
          <w:caps w:val="false"/>
          <w:smallCaps w:val="false"/>
          <w:color w:val="000000"/>
          <w:spacing w:val="0"/>
          <w:sz w:val="23"/>
        </w:rPr>
        <w:t>Отметим, что из 10 выделенных городу миллионов в пределах трех – будет направлено (также - по условиям проекта) на благоустройство общегородских территорий; возможно, - на благоустройство городской набережной и продолжение работ по строительству набережной в районе так называемого Польского залива.</w:t>
      </w:r>
      <w:r>
        <w:rPr/>
        <w:br/>
      </w:r>
      <w:r>
        <w:rPr>
          <w:rFonts w:ascii="Roboto;sans-serif" w:hAnsi="Roboto;sans-serif"/>
          <w:b w:val="false"/>
          <w:i w:val="false"/>
          <w:caps w:val="false"/>
          <w:smallCaps w:val="false"/>
          <w:color w:val="000000"/>
          <w:spacing w:val="0"/>
          <w:sz w:val="23"/>
        </w:rPr>
        <w:t>При желании, чтобы разобраться детально в этой важной теме, можно зайти на главную страницу официального сайта «МО Курчатов» и, воспользовавшись ссылкой «Комфортная городская среда», получить доступ к информации и документам. И еще, разработан проект муниципальной программы по формированию современной городской среды на территории МО «Город Курчатов» на 2017 – 2022 г.г., который будет до 1 апреля т.г. размещен на официальном сайте "МО Курчатов". После проведения общественных обсуждений программа по формированию современной городской среды на территории МО "Город Курчатов" будет размещена на сайте и опубликована в городской газете «Курчатовское время».</w:t>
      </w:r>
      <w:r>
        <w:rPr/>
        <w:t xml:space="preserve"> </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Roboto">
    <w:altName w:val="sans-serif"/>
    <w:charset w:val="cc"/>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character" w:styleId="Style14">
    <w:name w:val="Интернет-ссылка"/>
    <w:rPr>
      <w:color w:val="000080"/>
      <w:u w:val="single"/>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kurchatov.info/images/stories/news/mar_17/1480935076_gorod.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LibreOffice/7.1.2.2$Windows_X86_64 LibreOffice_project/8a45595d069ef5570103caea1b71cc9d82b2aae4</Application>
  <AppVersion>15.0000</AppVersion>
  <Pages>1</Pages>
  <Words>439</Words>
  <Characters>3051</Characters>
  <CharactersWithSpaces>3494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2023-06-14T10:58:35Z</dcterms:modified>
  <cp:revision>1</cp:revision>
  <dc:subject/>
  <dc:title/>
</cp:coreProperties>
</file>