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2120" w:val="left"/>
          <w:tab w:leader="none" w:pos="4640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Меры поддержки, оказываемые администрацией города Курчатова </w:t>
      </w:r>
    </w:p>
    <w:p w14:paraId="02000000">
      <w:pPr>
        <w:tabs>
          <w:tab w:leader="none" w:pos="2120" w:val="left"/>
          <w:tab w:leader="none" w:pos="4640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субъектам малого и среднего предпринимательства</w:t>
      </w:r>
    </w:p>
    <w:p w14:paraId="03000000">
      <w:pPr>
        <w:tabs>
          <w:tab w:leader="none" w:pos="2120" w:val="left"/>
          <w:tab w:leader="none" w:pos="4640" w:val="left"/>
        </w:tabs>
        <w:ind/>
        <w:jc w:val="both"/>
        <w:rPr>
          <w:b w:val="0"/>
          <w:sz w:val="28"/>
        </w:rPr>
      </w:pPr>
    </w:p>
    <w:p w14:paraId="04000000">
      <w:pPr>
        <w:tabs>
          <w:tab w:leader="none" w:pos="2120" w:val="left"/>
          <w:tab w:leader="none" w:pos="4640" w:val="left"/>
        </w:tabs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</w:t>
      </w:r>
      <w:r>
        <w:rPr>
          <w:sz w:val="28"/>
        </w:rPr>
        <w:t xml:space="preserve">Администрацией города Курчатова </w:t>
      </w:r>
      <w:r>
        <w:rPr>
          <w:sz w:val="28"/>
        </w:rPr>
        <w:t xml:space="preserve">разработана и утверждена </w:t>
      </w:r>
      <w:r>
        <w:rPr>
          <w:sz w:val="28"/>
        </w:rPr>
        <w:t xml:space="preserve"> постановлением администрации города Курчатова  от 30.09.2015 №1184 (в редакции постановления администрации  города  Курчатова от </w:t>
      </w:r>
      <w:r>
        <w:rPr>
          <w:b w:val="0"/>
          <w:sz w:val="28"/>
        </w:rPr>
        <w:t>27.12.2022 №1933</w:t>
      </w:r>
      <w:r>
        <w:rPr>
          <w:sz w:val="28"/>
        </w:rPr>
        <w:t xml:space="preserve">) </w:t>
      </w:r>
      <w:r>
        <w:rPr>
          <w:sz w:val="28"/>
        </w:rPr>
        <w:t>муниципальная программа «Развитие малого и среднего предпринимательства в городе Курчатове Курской области», включающая одну  подпрограмму «Содействие развитию малого и среднего предпринимательства в городе Курчатова»</w:t>
      </w:r>
      <w:r>
        <w:rPr>
          <w:sz w:val="28"/>
        </w:rPr>
        <w:t>.</w:t>
      </w:r>
    </w:p>
    <w:p w14:paraId="05000000">
      <w:pPr>
        <w:tabs>
          <w:tab w:leader="none" w:pos="2120" w:val="left"/>
          <w:tab w:leader="none" w:pos="4640" w:val="left"/>
        </w:tabs>
        <w:ind/>
        <w:jc w:val="both"/>
        <w:rPr>
          <w:sz w:val="28"/>
        </w:rPr>
      </w:pPr>
      <w:r>
        <w:rPr>
          <w:sz w:val="28"/>
        </w:rPr>
        <w:t xml:space="preserve">    В целях реализации муниципальной программы постановлением администрации города Курчатова от 02.03.2020 №403 утверждены Правила предоставления за счет средств городского бюджета субсидий для реализации мероприятий по развитию и поддержке малого и среднего предпринимательства.</w:t>
      </w:r>
    </w:p>
    <w:p w14:paraId="06000000">
      <w:pPr>
        <w:tabs>
          <w:tab w:leader="none" w:pos="2120" w:val="left"/>
          <w:tab w:leader="none" w:pos="4640" w:val="left"/>
        </w:tabs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</w:t>
      </w:r>
      <w:r>
        <w:rPr>
          <w:rFonts w:ascii="Times New Roman" w:hAnsi="Times New Roman"/>
          <w:sz w:val="28"/>
        </w:rPr>
        <w:t>В соответствии с Решением Курчатовской городской Думы от 22.12.2023 № 82 «О   бюджете  города Курчатова на 2024 год и на плановый период 2025 и 2026  годов» на  реализацию мероприятий муниципальной программы «Развитие малого и среднего предпринимательства в городе Курчатове  Курской области» в 2025 году  выделено 3500 тыс. руб., которые распределены следующим образом:</w:t>
      </w:r>
    </w:p>
    <w:p w14:paraId="07000000">
      <w:pPr>
        <w:numPr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1000 тыс. руб. </w:t>
      </w:r>
      <w:r>
        <w:rPr>
          <w:b w:val="0"/>
          <w:color w:val="000000"/>
          <w:sz w:val="28"/>
        </w:rPr>
        <w:t xml:space="preserve">на </w:t>
      </w:r>
      <w:r>
        <w:rPr>
          <w:b w:val="0"/>
          <w:color w:val="000000"/>
          <w:sz w:val="28"/>
        </w:rPr>
        <w:t xml:space="preserve"> </w:t>
      </w:r>
      <w:r>
        <w:rPr>
          <w:sz w:val="28"/>
        </w:rPr>
        <w:t>предоставление субсидий субъектам малого и среднего предпринимательства, начинающим собственный бизнес, на возмещение части затрат, связанных с организацией и ведением дела, осуществляющим деятельность по приоритетным направлениям деятельности малого и среднего предпринимательства;</w:t>
      </w:r>
    </w:p>
    <w:p w14:paraId="08000000">
      <w:pPr>
        <w:pStyle w:val="Style_1"/>
        <w:numPr>
          <w:numId w:val="1"/>
        </w:numPr>
        <w:ind w:firstLine="567" w:left="0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2500 тыс.руб. на</w:t>
      </w:r>
      <w:r>
        <w:rPr>
          <w:b w:val="0"/>
          <w:color w:val="000000"/>
          <w:sz w:val="28"/>
        </w:rPr>
        <w:t xml:space="preserve"> </w:t>
      </w:r>
      <w:r>
        <w:rPr>
          <w:sz w:val="28"/>
        </w:rPr>
        <w:t xml:space="preserve">предоставление субсидий субъектам малого и среднего предпринимательства, осуществляющим деятельность в сфере 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производства, осуществляющим деятельность по </w:t>
      </w:r>
      <w:r>
        <w:rPr>
          <w:sz w:val="28"/>
        </w:rPr>
        <w:t>приоритетным направлениям деятельности малого и среднего предпринимательства.</w:t>
      </w:r>
    </w:p>
    <w:p w14:paraId="09000000">
      <w:pPr>
        <w:widowControl w:val="0"/>
        <w:ind w:firstLine="0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   Перечень приоритетных направлений деятельности малого и среднего предпринимательства включает следующие виды деятельности ( в соответствии с Общероссийским классификатором видов экономической деятельности ОК 029-2014 (КДЕС Ред.2)):</w:t>
      </w:r>
    </w:p>
    <w:p w14:paraId="0A000000">
      <w:pPr>
        <w:widowControl w:val="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"https://login.consultant.ru/link/?req=doc&amp;base=LAW&amp;n=468900&amp;dst=100711"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C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"Обрабатывающие производства" (за исключением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"https://login.consultant.ru/link/?req=doc&amp;base=LAW&amp;n=468900&amp;dst=101052"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кодов 12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"https://login.consultant.ru/link/?req=doc&amp;base=LAW&amp;n=468900&amp;dst=101418"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18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"https://login.consultant.ru/link/?req=doc&amp;base=LAW&amp;n=468900&amp;dst=101435"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19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"https://login.consultant.ru/link/?req=doc&amp;base=LAW&amp;n=468900&amp;dst=101539"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20.51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"https://login.consultant.ru/link/?req=doc&amp;base=LAW&amp;n=468900&amp;dst=101756"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23.7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"https://login.consultant.ru/link/?req=doc&amp;base=LAW&amp;n=468900&amp;dst=101841"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24.41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"https://login.consultant.ru/link/?req=doc&amp;base=LAW&amp;n=468900&amp;dst=101885"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24.54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(в части отливки изделий из ценных металлов),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"https://login.consultant.ru/link/?req=doc&amp;base=LAW&amp;n=468900&amp;dst=101914"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25.4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"https://login.consultant.ru/link/?req=doc&amp;base=LAW&amp;n=468900&amp;dst=105783"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32.1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>).</w:t>
      </w:r>
    </w:p>
    <w:p w14:paraId="0B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2.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"https://login.consultant.ru/link/?req=doc&amp;base=LAW&amp;n=468900&amp;dst=103016"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G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"Ремонт автотранспортных средств и мотоциклов".</w:t>
      </w:r>
    </w:p>
    <w:p w14:paraId="0C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3.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"https://login.consultant.ru/link/?req=doc&amp;base=LAW&amp;n=468900&amp;dst=105326"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P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"Образование" -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"https://login.consultant.ru/link/?req=doc&amp;base=LAW&amp;n=468900&amp;dst=105333"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код 85.11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>.</w:t>
      </w:r>
    </w:p>
    <w:p w14:paraId="0D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4.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"https://login.consultant.ru/link/?req=doc&amp;base=LAW&amp;n=468900&amp;dst=105377"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Q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"Деятельность в области здравоохранения и социальных услуг" (за исключением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"https://login.consultant.ru/link/?req=doc&amp;base=LAW&amp;n=468900&amp;dst=105393"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кодов 86.23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"https://login.consultant.ru/link/?req=doc&amp;base=LAW&amp;n=468900&amp;dst=105395"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86.9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>, косметологии).</w:t>
      </w:r>
    </w:p>
    <w:p w14:paraId="0E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5.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"https://login.consultant.ru/link/?req=doc&amp;base=LAW&amp;n=468900&amp;dst=105532"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S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"Предоставление прочих видов услуг" -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"https://login.consultant.ru/link/?req=doc&amp;base=LAW&amp;n=468900&amp;dst=105825"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коды 95.21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-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"https://login.consultant.ru/link/?req=doc&amp;base=LAW&amp;n=468900&amp;dst=105572"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95.22.2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"https://login.consultant.ru/link/?req=doc&amp;base=LAW&amp;n=468900&amp;dst=105837"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95.29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"https://login.consultant.ru/link/?req=doc&amp;base=LAW&amp;n=468900&amp;dst=105863"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96.01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>.</w:t>
      </w:r>
    </w:p>
    <w:p w14:paraId="0F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6. Инновационная деятельность.</w:t>
      </w:r>
    </w:p>
    <w:p w14:paraId="10000000">
      <w:pPr>
        <w:widowControl w:val="0"/>
        <w:spacing w:before="160"/>
        <w:ind w:firstLine="540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 xml:space="preserve">7.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"https://login.consultant.ru/link/?req=doc&amp;base=LAW&amp;n=468900&amp;dst=100133"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Раздел А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 xml:space="preserve"> "Рыболовство и рыбоводство" - </w:t>
      </w:r>
      <w:r>
        <w:rPr>
          <w:rFonts w:ascii="PT Astra Serif" w:hAnsi="PT Astra Serif"/>
          <w:color w:val="000000"/>
          <w:sz w:val="28"/>
          <w:u w:val="single"/>
        </w:rPr>
        <w:fldChar w:fldCharType="begin"/>
      </w:r>
      <w:r>
        <w:rPr>
          <w:rFonts w:ascii="PT Astra Serif" w:hAnsi="PT Astra Serif"/>
          <w:color w:val="000000"/>
          <w:sz w:val="28"/>
          <w:u w:val="single"/>
        </w:rPr>
        <w:instrText>HYPERLINK "https://login.consultant.ru/link/?req=doc&amp;base=LAW&amp;n=468900&amp;dst=100438"</w:instrText>
      </w:r>
      <w:r>
        <w:rPr>
          <w:rFonts w:ascii="PT Astra Serif" w:hAnsi="PT Astra Serif"/>
          <w:color w:val="000000"/>
          <w:sz w:val="28"/>
          <w:u w:val="single"/>
        </w:rPr>
        <w:fldChar w:fldCharType="separate"/>
      </w:r>
      <w:r>
        <w:rPr>
          <w:rFonts w:ascii="PT Astra Serif" w:hAnsi="PT Astra Serif"/>
          <w:color w:val="000000"/>
          <w:sz w:val="28"/>
          <w:u w:val="single"/>
        </w:rPr>
        <w:t>код 03</w:t>
      </w:r>
      <w:r>
        <w:rPr>
          <w:rFonts w:ascii="PT Astra Serif" w:hAnsi="PT Astra Serif"/>
          <w:color w:val="000000"/>
          <w:sz w:val="28"/>
          <w:u w:val="single"/>
        </w:rPr>
        <w:fldChar w:fldCharType="end"/>
      </w:r>
      <w:r>
        <w:rPr>
          <w:rFonts w:ascii="PT Astra Serif" w:hAnsi="PT Astra Serif"/>
          <w:color w:val="000000"/>
          <w:sz w:val="28"/>
        </w:rPr>
        <w:t>.</w:t>
      </w:r>
    </w:p>
    <w:p w14:paraId="11000000">
      <w:pPr>
        <w:pStyle w:val="Style_1"/>
        <w:ind w:firstLine="567" w:left="0"/>
        <w:jc w:val="both"/>
        <w:rPr>
          <w:b w:val="0"/>
          <w:color w:val="000000"/>
          <w:sz w:val="28"/>
        </w:rPr>
      </w:pPr>
    </w:p>
    <w:p w14:paraId="12000000">
      <w:pPr>
        <w:pStyle w:val="Style_1"/>
        <w:rPr>
          <w:color w:val="000000"/>
        </w:rPr>
      </w:pPr>
    </w:p>
    <w:sectPr>
      <w:pgSz w:h="16838" w:orient="portrait" w:w="11906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Caption"/>
    <w:basedOn w:val="Style_1"/>
    <w:link w:val="Style_2_ch"/>
    <w:pPr>
      <w:spacing w:after="120" w:before="120"/>
      <w:ind/>
      <w:contextualSpacing w:val="0"/>
    </w:pPr>
    <w:rPr>
      <w:rFonts w:ascii="PT Astra Serif" w:hAnsi="PT Astra Serif"/>
      <w:i w:val="1"/>
      <w:sz w:val="24"/>
    </w:rPr>
  </w:style>
  <w:style w:styleId="Style_2_ch" w:type="character">
    <w:name w:val="Caption"/>
    <w:basedOn w:val="Style_1_ch"/>
    <w:link w:val="Style_2"/>
    <w:rPr>
      <w:rFonts w:ascii="PT Astra Serif" w:hAnsi="PT Astra Serif"/>
      <w:i w:val="1"/>
      <w:sz w:val="24"/>
    </w:rPr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Index"/>
    <w:basedOn w:val="Style_1"/>
    <w:link w:val="Style_8_ch"/>
    <w:rPr>
      <w:rFonts w:ascii="PT Astra Serif" w:hAnsi="PT Astra Serif"/>
    </w:rPr>
  </w:style>
  <w:style w:styleId="Style_8_ch" w:type="character">
    <w:name w:val="Index"/>
    <w:basedOn w:val="Style_1_ch"/>
    <w:link w:val="Style_8"/>
    <w:rPr>
      <w:rFonts w:ascii="PT Astra Serif" w:hAnsi="PT Astra Serif"/>
    </w:rPr>
  </w:style>
  <w:style w:styleId="Style_9" w:type="paragraph">
    <w:name w:val="Text body"/>
    <w:basedOn w:val="Style_1"/>
    <w:link w:val="Style_9_ch"/>
    <w:pPr>
      <w:spacing w:after="140" w:before="0" w:line="276" w:lineRule="auto"/>
      <w:ind/>
      <w:contextualSpacing w:val="0"/>
    </w:pPr>
  </w:style>
  <w:style w:styleId="Style_9_ch" w:type="character">
    <w:name w:val="Text body"/>
    <w:basedOn w:val="Style_1_ch"/>
    <w:link w:val="Style_9"/>
  </w:style>
  <w:style w:styleId="Style_10" w:type="paragraph">
    <w:name w:val="toc 3"/>
    <w:basedOn w:val="Style_1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basedOn w:val="Style_1_ch"/>
    <w:link w:val="Style_10"/>
    <w:rPr>
      <w:rFonts w:ascii="XO Thames" w:hAnsi="XO Thames"/>
      <w:sz w:val="28"/>
    </w:rPr>
  </w:style>
  <w:style w:styleId="Style_11" w:type="paragraph">
    <w:name w:val="heading 5"/>
    <w:basedOn w:val="Style_1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basedOn w:val="Style_1_ch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basedOn w:val="Style_1_ch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List"/>
    <w:basedOn w:val="Style_9"/>
    <w:link w:val="Style_15_ch"/>
    <w:rPr>
      <w:rFonts w:ascii="PT Astra Serif" w:hAnsi="PT Astra Serif"/>
    </w:rPr>
  </w:style>
  <w:style w:styleId="Style_15_ch" w:type="character">
    <w:name w:val="List"/>
    <w:basedOn w:val="Style_9_ch"/>
    <w:link w:val="Style_15"/>
    <w:rPr>
      <w:rFonts w:ascii="PT Astra Serif" w:hAnsi="PT Astra Serif"/>
    </w:rPr>
  </w:style>
  <w:style w:styleId="Style_16" w:type="paragraph">
    <w:name w:val="toc 1"/>
    <w:basedOn w:val="Style_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basedOn w:val="Style_1_ch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basedOn w:val="Style_1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basedOn w:val="Style_1_ch"/>
    <w:link w:val="Style_18"/>
    <w:rPr>
      <w:rFonts w:ascii="XO Thames" w:hAnsi="XO Thames"/>
      <w:sz w:val="28"/>
    </w:rPr>
  </w:style>
  <w:style w:styleId="Style_19" w:type="paragraph">
    <w:name w:val="toc 8"/>
    <w:basedOn w:val="Style_1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basedOn w:val="Style_1_ch"/>
    <w:link w:val="Style_19"/>
    <w:rPr>
      <w:rFonts w:ascii="XO Thames" w:hAnsi="XO Thames"/>
      <w:sz w:val="28"/>
    </w:rPr>
  </w:style>
  <w:style w:styleId="Style_20" w:type="paragraph">
    <w:name w:val="toc 5"/>
    <w:basedOn w:val="Style_1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basedOn w:val="Style_1_ch"/>
    <w:link w:val="Style_20"/>
    <w:rPr>
      <w:rFonts w:ascii="XO Thames" w:hAnsi="XO Thames"/>
      <w:sz w:val="28"/>
    </w:rPr>
  </w:style>
  <w:style w:styleId="Style_21" w:type="paragraph">
    <w:name w:val="Heading"/>
    <w:basedOn w:val="Style_1"/>
    <w:next w:val="Style_9"/>
    <w:link w:val="Style_21_ch"/>
    <w:pPr>
      <w:keepNext w:val="1"/>
      <w:spacing w:after="120" w:before="240"/>
      <w:ind/>
      <w:contextualSpacing w:val="0"/>
    </w:pPr>
    <w:rPr>
      <w:rFonts w:ascii="PT Astra Serif" w:hAnsi="PT Astra Serif"/>
      <w:sz w:val="28"/>
    </w:rPr>
  </w:style>
  <w:style w:styleId="Style_21_ch" w:type="character">
    <w:name w:val="Heading"/>
    <w:basedOn w:val="Style_1_ch"/>
    <w:link w:val="Style_21"/>
    <w:rPr>
      <w:rFonts w:ascii="PT Astra Serif" w:hAnsi="PT Astra Serif"/>
      <w:sz w:val="28"/>
    </w:rPr>
  </w:style>
  <w:style w:styleId="Style_22" w:type="paragraph">
    <w:name w:val="Subtitle"/>
    <w:basedOn w:val="Style_1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basedOn w:val="Style_1_ch"/>
    <w:link w:val="Style_22"/>
    <w:rPr>
      <w:rFonts w:ascii="XO Thames" w:hAnsi="XO Thames"/>
      <w:i w:val="1"/>
      <w:sz w:val="24"/>
    </w:rPr>
  </w:style>
  <w:style w:styleId="Style_23" w:type="paragraph">
    <w:name w:val="toc 10"/>
    <w:basedOn w:val="Style_1"/>
    <w:next w:val="Style_1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basedOn w:val="Style_1_ch"/>
    <w:link w:val="Style_23"/>
    <w:rPr>
      <w:rFonts w:ascii="XO Thames" w:hAnsi="XO Thames"/>
      <w:sz w:val="28"/>
    </w:rPr>
  </w:style>
  <w:style w:styleId="Style_24" w:type="paragraph">
    <w:name w:val="Title"/>
    <w:basedOn w:val="Style_1"/>
    <w:next w:val="Style_1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basedOn w:val="Style_1_ch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1"/>
    <w:next w:val="Style_1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basedOn w:val="Style_1_ch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1"/>
    <w:next w:val="Style_1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basedOn w:val="Style_1_ch"/>
    <w:link w:val="Style_26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2025-03-17T07:43:52Z</dcterms:modified>
</cp:coreProperties>
</file>