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ходе выполнения распоряжения  администрации  города Курчатова от 28.12.2021 № 558р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"Об утверждении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"consultantplus://offline/ref=59FB419533F33B3555AA873D520473ADAE783A79EFAC7641AC37FDB37AA99BA2B8EFE18831477CF745AD19f0b9N"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Плана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мероприятий ("дорожной карты") и ключевых показателей </w:t>
      </w:r>
      <w:r>
        <w:rPr>
          <w:rStyle w:val="Style_2_ch"/>
          <w:rFonts w:ascii="Times New Roman" w:hAnsi="Times New Roman"/>
          <w:sz w:val="24"/>
        </w:rPr>
        <w:t>по содействию развитию конкуренции в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мун</w:t>
      </w:r>
      <w:r>
        <w:rPr>
          <w:rFonts w:ascii="Times New Roman" w:hAnsi="Times New Roman"/>
          <w:sz w:val="24"/>
        </w:rPr>
        <w:t>ици</w:t>
      </w:r>
      <w:r>
        <w:rPr>
          <w:rStyle w:val="Style_2_ch"/>
          <w:rFonts w:ascii="Times New Roman" w:hAnsi="Times New Roman"/>
          <w:sz w:val="24"/>
        </w:rPr>
        <w:t xml:space="preserve">пальном образовании "Город Курчатов" Курской области </w:t>
      </w:r>
      <w:r>
        <w:rPr>
          <w:rFonts w:ascii="Times New Roman" w:hAnsi="Times New Roman"/>
          <w:sz w:val="24"/>
        </w:rPr>
        <w:t>на 2022 - 2025 годы"</w:t>
      </w: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 2023 год</w:t>
      </w:r>
    </w:p>
    <w:p w14:paraId="05000000">
      <w:pPr>
        <w:pStyle w:val="Style_3"/>
        <w:spacing w:before="240"/>
        <w:ind/>
        <w:jc w:val="both"/>
        <w:rPr>
          <w:b w:val="1"/>
        </w:rPr>
      </w:pPr>
      <w:r>
        <w:rPr>
          <w:b w:val="1"/>
        </w:rPr>
        <w:t>Раздел I. Информация (в том числе в числовом выражении) в отношении ситу</w:t>
      </w:r>
      <w:r>
        <w:rPr>
          <w:b w:val="1"/>
        </w:rPr>
        <w:t>ации, сложившейся в каждой отрасли (сфере) экономики (на отдельных товарных рынках) МО "Город Курчатов" Курской области и исполнению мероприятий по содействию развитию конкуренции</w:t>
      </w:r>
      <w:r>
        <w:rPr>
          <w:b w:val="1"/>
          <w:sz w:val="28"/>
        </w:rPr>
        <w:t xml:space="preserve"> </w:t>
      </w:r>
    </w:p>
    <w:p w14:paraId="06000000">
      <w:pPr>
        <w:pStyle w:val="Style_3"/>
        <w:rPr>
          <w:b w:val="1"/>
          <w:color w:val="FF0000"/>
        </w:rPr>
      </w:pPr>
    </w:p>
    <w:tbl>
      <w:tblPr>
        <w:tblStyle w:val="Style_4"/>
        <w:tblInd w:type="dxa" w:w="-176"/>
        <w:tblLayout w:type="fixed"/>
      </w:tblPr>
      <w:tblGrid>
        <w:gridCol w:w="491"/>
        <w:gridCol w:w="2076"/>
        <w:gridCol w:w="382"/>
        <w:gridCol w:w="631"/>
        <w:gridCol w:w="631"/>
        <w:gridCol w:w="5092"/>
        <w:gridCol w:w="5444"/>
      </w:tblGrid>
      <w:tr>
        <w:trPr>
          <w:tblHeader/>
        </w:trPr>
        <w:tc>
          <w:tcPr>
            <w:tcW w:type="dxa" w:w="491"/>
            <w:vMerge w:val="restart"/>
          </w:tcPr>
          <w:p w14:paraId="0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2076"/>
            <w:vMerge w:val="restart"/>
          </w:tcPr>
          <w:p w14:paraId="0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382"/>
            <w:vMerge w:val="restart"/>
          </w:tcPr>
          <w:p w14:paraId="09000000">
            <w:pPr>
              <w:pStyle w:val="Style_5"/>
              <w:ind w:firstLine="0"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  <w:r>
              <w:rPr>
                <w:sz w:val="24"/>
              </w:rPr>
              <w:t>изм</w:t>
            </w:r>
          </w:p>
        </w:tc>
        <w:tc>
          <w:tcPr>
            <w:tcW w:type="dxa" w:w="1262"/>
            <w:gridSpan w:val="2"/>
          </w:tcPr>
          <w:p w14:paraId="0A000000">
            <w:pPr>
              <w:pStyle w:val="Style_5"/>
              <w:ind w:firstLine="0" w:left="-112" w:right="-92"/>
              <w:jc w:val="center"/>
              <w:rPr>
                <w:sz w:val="24"/>
              </w:rPr>
            </w:pPr>
            <w:r>
              <w:rPr>
                <w:sz w:val="24"/>
              </w:rPr>
              <w:t>Целевые значения показателя на 01.01</w:t>
            </w:r>
            <w:r>
              <w:rPr>
                <w:sz w:val="24"/>
              </w:rPr>
              <w:t>.2024</w:t>
            </w:r>
          </w:p>
        </w:tc>
        <w:tc>
          <w:tcPr>
            <w:tcW w:type="dxa" w:w="5092"/>
            <w:vMerge w:val="restart"/>
          </w:tcPr>
          <w:p w14:paraId="0B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5444"/>
            <w:vMerge w:val="restart"/>
          </w:tcPr>
          <w:p w14:paraId="0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ходе реализации мероприятия</w:t>
            </w:r>
          </w:p>
        </w:tc>
      </w:tr>
      <w:tr>
        <w:trPr>
          <w:tblHeader/>
        </w:trP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tcBorders>
              <w:bottom w:color="000000" w:sz="4" w:val="single"/>
            </w:tcBorders>
          </w:tcPr>
          <w:p w14:paraId="0D000000">
            <w:pPr>
              <w:pStyle w:val="Style_5"/>
              <w:ind w:right="-15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type="dxa" w:w="631"/>
            <w:tcBorders>
              <w:bottom w:color="000000" w:sz="4" w:val="single"/>
            </w:tcBorders>
          </w:tcPr>
          <w:p w14:paraId="0E000000">
            <w:pPr>
              <w:pStyle w:val="Style_5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type="dxa" w:w="5092"/>
            <w:gridSpan w:val="1"/>
            <w:vMerge w:val="continue"/>
          </w:tcPr>
          <w:p/>
        </w:tc>
        <w:tc>
          <w:tcPr>
            <w:tcW w:type="dxa" w:w="5444"/>
            <w:gridSpan w:val="1"/>
            <w:vMerge w:val="continue"/>
          </w:tcPr>
          <w:p/>
        </w:tc>
      </w:tr>
      <w:tr>
        <w:trPr>
          <w:tblHeader/>
        </w:trPr>
        <w:tc>
          <w:tcPr>
            <w:tcW w:type="dxa" w:w="491"/>
            <w:tcBorders>
              <w:bottom w:color="000000" w:sz="4" w:val="single"/>
            </w:tcBorders>
          </w:tcPr>
          <w:p w14:paraId="0F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76"/>
            <w:tcBorders>
              <w:bottom w:color="000000" w:sz="4" w:val="single"/>
            </w:tcBorders>
          </w:tcPr>
          <w:p w14:paraId="10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2"/>
            <w:tcBorders>
              <w:bottom w:color="000000" w:sz="4" w:val="single"/>
            </w:tcBorders>
          </w:tcPr>
          <w:p w14:paraId="11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31"/>
            <w:tcBorders>
              <w:bottom w:color="000000" w:sz="4" w:val="single"/>
            </w:tcBorders>
          </w:tcPr>
          <w:p w14:paraId="12000000">
            <w:pPr>
              <w:pStyle w:val="Style_5"/>
              <w:ind w:right="-1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31"/>
            <w:tcBorders>
              <w:bottom w:color="000000" w:sz="4" w:val="single"/>
            </w:tcBorders>
          </w:tcPr>
          <w:p w14:paraId="13000000">
            <w:pPr>
              <w:pStyle w:val="Style_5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92"/>
            <w:tcBorders>
              <w:bottom w:color="000000" w:sz="4" w:val="single"/>
            </w:tcBorders>
          </w:tcPr>
          <w:p w14:paraId="1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444"/>
            <w:tcBorders>
              <w:bottom w:color="000000" w:sz="4" w:val="single"/>
            </w:tcBorders>
          </w:tcPr>
          <w:p w14:paraId="1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491"/>
            <w:tcBorders>
              <w:top w:color="000000" w:sz="4" w:val="single"/>
            </w:tcBorders>
          </w:tcPr>
          <w:p w14:paraId="16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4255"/>
            <w:gridSpan w:val="6"/>
            <w:tcBorders>
              <w:top w:color="000000" w:sz="4" w:val="single"/>
            </w:tcBorders>
          </w:tcPr>
          <w:p w14:paraId="17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>
        <w:tc>
          <w:tcPr>
            <w:tcW w:type="dxa" w:w="491"/>
          </w:tcPr>
          <w:p w14:paraId="18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</w:tcPr>
          <w:p w14:paraId="19000000">
            <w:pPr>
              <w:pStyle w:val="Style_5"/>
              <w:ind w:firstLine="0" w:left="-54" w:right="-113"/>
              <w:rPr>
                <w:b w:val="1"/>
                <w:sz w:val="24"/>
              </w:rPr>
            </w:pPr>
            <w:r>
              <w:rPr>
                <w:sz w:val="24"/>
              </w:rPr>
              <w:t xml:space="preserve">Доля организаций частной формы </w:t>
            </w:r>
            <w:r>
              <w:rPr>
                <w:sz w:val="24"/>
              </w:rPr>
              <w:t>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type="dxa" w:w="382"/>
          </w:tcPr>
          <w:p w14:paraId="1A00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631"/>
          </w:tcPr>
          <w:p w14:paraId="1B000000">
            <w:pPr>
              <w:pStyle w:val="Style_5"/>
              <w:ind w:firstLine="0" w:left="-79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96,9</w:t>
            </w:r>
          </w:p>
        </w:tc>
        <w:tc>
          <w:tcPr>
            <w:tcW w:type="dxa" w:w="631"/>
          </w:tcPr>
          <w:p w14:paraId="1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type="dxa" w:w="5092"/>
          </w:tcPr>
          <w:p w14:paraId="1D000000">
            <w:pPr>
              <w:pStyle w:val="Style_5"/>
              <w:rPr>
                <w:b w:val="1"/>
                <w:sz w:val="24"/>
              </w:rPr>
            </w:pPr>
            <w:r>
              <w:rPr>
                <w:sz w:val="24"/>
              </w:rPr>
              <w:t xml:space="preserve">Оказание методической и консультационной помощи субъектам малого и среднего предпринимательства по организации торговой </w:t>
            </w:r>
            <w:r>
              <w:rPr>
                <w:sz w:val="24"/>
              </w:rPr>
              <w:t>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type="dxa" w:w="5444"/>
          </w:tcPr>
          <w:p w14:paraId="1E000000">
            <w:pPr>
              <w:pStyle w:val="Style_5"/>
              <w:ind w:firstLine="284" w:left="2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Рынок розничной торговли лекарственными препаратами, изделиями медицинского назначения и сопутствующими товар</w:t>
            </w:r>
            <w:r>
              <w:rPr>
                <w:sz w:val="24"/>
              </w:rPr>
              <w:t>ами в МО "Город Курчатов" Курской области по состоянию на 01.01.2024 представлен 34 аптечными организациями (точкой продажи), в том числе государственных – 1, частных – 33. Доля негосударственных аптечных организаций (точек продаж), осуществляющих розничну</w:t>
            </w:r>
            <w:r>
              <w:rPr>
                <w:sz w:val="24"/>
              </w:rPr>
              <w:t>ю торговлю фармацевтической продукцией, составляет 97%.</w:t>
            </w:r>
          </w:p>
        </w:tc>
      </w:tr>
      <w:tr>
        <w:tc>
          <w:tcPr>
            <w:tcW w:type="dxa" w:w="491"/>
          </w:tcPr>
          <w:p w14:paraId="1F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4255"/>
            <w:gridSpan w:val="6"/>
          </w:tcPr>
          <w:p w14:paraId="20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Рынок ритуальных услуг</w:t>
            </w:r>
          </w:p>
        </w:tc>
      </w:tr>
      <w:tr>
        <w:tc>
          <w:tcPr>
            <w:tcW w:type="dxa" w:w="491"/>
            <w:vMerge w:val="restart"/>
          </w:tcPr>
          <w:p w14:paraId="21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  <w:vMerge w:val="restart"/>
          </w:tcPr>
          <w:p w14:paraId="22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организаций частной формы собственности в </w:t>
            </w:r>
            <w:r>
              <w:rPr>
                <w:rFonts w:ascii="Times New Roman" w:hAnsi="Times New Roman"/>
                <w:sz w:val="24"/>
              </w:rPr>
              <w:t>сфере ритуальных услуг</w:t>
            </w:r>
          </w:p>
        </w:tc>
        <w:tc>
          <w:tcPr>
            <w:tcW w:type="dxa" w:w="382"/>
            <w:vMerge w:val="restart"/>
          </w:tcPr>
          <w:p w14:paraId="2300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631"/>
            <w:vMerge w:val="restart"/>
          </w:tcPr>
          <w:p w14:paraId="2400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631"/>
            <w:vMerge w:val="restart"/>
          </w:tcPr>
          <w:p w14:paraId="2500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type="dxa" w:w="5092"/>
          </w:tcPr>
          <w:p w14:paraId="26000000">
            <w:pPr>
              <w:pStyle w:val="Style_5"/>
              <w:tabs>
                <w:tab w:leader="none" w:pos="428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мониторинга состояния рынка ритуальных услуг МО "Город Курчатов" Курской области</w:t>
            </w:r>
          </w:p>
        </w:tc>
        <w:tc>
          <w:tcPr>
            <w:tcW w:type="dxa" w:w="5444"/>
            <w:vMerge w:val="restart"/>
          </w:tcPr>
          <w:p w14:paraId="27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Федеральным законом от 6 октября 2003 года № 131-ФЗ "Об общих принципах организации органов местного самоуправления" организация ритуальных услуг и </w:t>
            </w:r>
            <w:r>
              <w:rPr>
                <w:sz w:val="24"/>
              </w:rPr>
              <w:t xml:space="preserve">содержание мест захоронения относится к вопросам местного значения. </w:t>
            </w:r>
          </w:p>
          <w:p w14:paraId="28000000">
            <w:pPr>
              <w:pStyle w:val="Style_6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на террито</w:t>
            </w:r>
            <w:r>
              <w:rPr>
                <w:rFonts w:ascii="Times New Roman" w:hAnsi="Times New Roman"/>
                <w:sz w:val="24"/>
              </w:rPr>
              <w:t>рии МО "Город Курчатов" Курской области ритуальные услуги оказывали 4 организации: 1 МУП и 3 ИП. Доля организаций частной формы собственности в сфере ритуальных услуг в 2023 году составила 59% (по объему выручки).</w:t>
            </w:r>
          </w:p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29000000">
            <w:pPr>
              <w:pStyle w:val="Style_5"/>
              <w:ind w:right="-130"/>
              <w:rPr>
                <w:sz w:val="24"/>
              </w:rPr>
            </w:pPr>
            <w:r>
              <w:rPr>
                <w:sz w:val="24"/>
              </w:rPr>
              <w:t xml:space="preserve">Оказание консультационной и методической </w:t>
            </w:r>
            <w:r>
              <w:rPr>
                <w:sz w:val="24"/>
              </w:rPr>
              <w:t>поддержки хозяйствующим субъектам, открывающим объекты по рынку ритуальных услуг в МО "Город Курчатов" Курской области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</w:tcPr>
          <w:p w14:paraId="2A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4255"/>
            <w:gridSpan w:val="6"/>
          </w:tcPr>
          <w:p w14:paraId="2B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Рынок выполнения работ по благоустройству городской среды</w:t>
            </w:r>
          </w:p>
        </w:tc>
      </w:tr>
      <w:tr>
        <w:tc>
          <w:tcPr>
            <w:tcW w:type="dxa" w:w="491"/>
            <w:vMerge w:val="restart"/>
          </w:tcPr>
          <w:p w14:paraId="2C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  <w:vMerge w:val="restart"/>
          </w:tcPr>
          <w:p w14:paraId="2D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  <w:r>
              <w:rPr>
                <w:rFonts w:ascii="Times New Roman" w:hAnsi="Times New Roman"/>
                <w:sz w:val="24"/>
              </w:rPr>
              <w:t>собственности в сфере выполнения работ по благоустройству городской среды</w:t>
            </w:r>
          </w:p>
        </w:tc>
        <w:tc>
          <w:tcPr>
            <w:tcW w:type="dxa" w:w="382"/>
            <w:vMerge w:val="restart"/>
          </w:tcPr>
          <w:p w14:paraId="2E00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631"/>
            <w:vMerge w:val="restart"/>
          </w:tcPr>
          <w:p w14:paraId="2F00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631"/>
            <w:vMerge w:val="restart"/>
          </w:tcPr>
          <w:p w14:paraId="30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092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type="dxa" w:w="5444"/>
            <w:vMerge w:val="restart"/>
          </w:tcPr>
          <w:p w14:paraId="32000000">
            <w:pPr>
              <w:tabs>
                <w:tab w:leader="none" w:pos="5700" w:val="left"/>
                <w:tab w:leader="none" w:pos="6120" w:val="left"/>
                <w:tab w:leader="none" w:pos="7088" w:val="left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официальном сайте МО "Город Курчатов" Курской области в </w:t>
            </w:r>
            <w:r>
              <w:rPr>
                <w:rFonts w:ascii="Times New Roman" w:hAnsi="Times New Roman"/>
                <w:sz w:val="24"/>
              </w:rPr>
              <w:t>разделе "Комфортная городская среда" размещена вся информация о благоустроенных и запланированных к благоустройству дворовых и общественных территориях.</w:t>
            </w:r>
          </w:p>
          <w:p w14:paraId="33000000">
            <w:pPr>
              <w:tabs>
                <w:tab w:leader="none" w:pos="5700" w:val="left"/>
                <w:tab w:leader="none" w:pos="6120" w:val="left"/>
                <w:tab w:leader="none" w:pos="7088" w:val="left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федерального проекта "Формирование комфортной городской среды" на территории города Курчатова </w:t>
            </w:r>
            <w:r>
              <w:rPr>
                <w:rFonts w:ascii="Times New Roman" w:hAnsi="Times New Roman"/>
                <w:sz w:val="24"/>
              </w:rPr>
              <w:t>в 2023 году были благоустроены 3 общественных территории:</w:t>
            </w:r>
          </w:p>
          <w:p w14:paraId="34000000">
            <w:pPr>
              <w:pStyle w:val="Style_7"/>
              <w:numPr>
                <w:ilvl w:val="0"/>
                <w:numId w:val="1"/>
              </w:numPr>
              <w:tabs>
                <w:tab w:leader="none" w:pos="5700" w:val="left"/>
                <w:tab w:leader="none" w:pos="6120" w:val="left"/>
                <w:tab w:leader="none" w:pos="7088" w:val="left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выгула собак (территория по ул. Ленинградская);</w:t>
            </w:r>
          </w:p>
          <w:p w14:paraId="35000000">
            <w:pPr>
              <w:pStyle w:val="Style_7"/>
              <w:numPr>
                <w:ilvl w:val="0"/>
                <w:numId w:val="1"/>
              </w:numPr>
              <w:tabs>
                <w:tab w:leader="none" w:pos="5700" w:val="left"/>
                <w:tab w:leader="none" w:pos="6120" w:val="left"/>
                <w:tab w:leader="none" w:pos="7088" w:val="left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«Пешеходная зона по нечётной стороне ул. Садовой д.1 до д.21 (зона ЗАГС)»;</w:t>
            </w:r>
          </w:p>
          <w:p w14:paraId="36000000">
            <w:pPr>
              <w:pStyle w:val="Style_7"/>
              <w:numPr>
                <w:ilvl w:val="0"/>
                <w:numId w:val="1"/>
              </w:numPr>
              <w:tabs>
                <w:tab w:leader="none" w:pos="5700" w:val="left"/>
                <w:tab w:leader="none" w:pos="6120" w:val="left"/>
                <w:tab w:leader="none" w:pos="7088" w:val="left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Доска Почета и прилегающая территория (территория у здания пр.</w:t>
            </w:r>
            <w:r>
              <w:rPr>
                <w:rFonts w:ascii="Times New Roman" w:hAnsi="Times New Roman"/>
                <w:sz w:val="24"/>
              </w:rPr>
              <w:t xml:space="preserve"> Коммун</w:t>
            </w:r>
            <w:r>
              <w:rPr>
                <w:rFonts w:ascii="Times New Roman" w:hAnsi="Times New Roman"/>
                <w:sz w:val="24"/>
              </w:rPr>
              <w:t>истический, д.7)</w:t>
            </w:r>
          </w:p>
          <w:p w14:paraId="37000000">
            <w:pPr>
              <w:tabs>
                <w:tab w:leader="none" w:pos="5700" w:val="left"/>
                <w:tab w:leader="none" w:pos="6120" w:val="left"/>
                <w:tab w:leader="none" w:pos="7088" w:val="left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муниципальной программы "Формирование современной городской среды на </w:t>
            </w:r>
            <w:r>
              <w:rPr>
                <w:rFonts w:ascii="Times New Roman" w:hAnsi="Times New Roman"/>
                <w:sz w:val="24"/>
              </w:rPr>
              <w:t>территории МО «Город Курчатов» в 2023 году за счет городского бюджета были реализованы мероприятия, направленные на благоустройство дворовых территорий, располож</w:t>
            </w:r>
            <w:r>
              <w:rPr>
                <w:rFonts w:ascii="Times New Roman" w:hAnsi="Times New Roman"/>
                <w:sz w:val="24"/>
              </w:rPr>
              <w:t xml:space="preserve">енных по адресам: ул. Садовая д.12, д.16, д.18, д.19а, д.19б, д.19в, д.20, д.22, д.24. </w:t>
            </w:r>
          </w:p>
          <w:p w14:paraId="38000000">
            <w:pPr>
              <w:tabs>
                <w:tab w:leader="none" w:pos="5700" w:val="left"/>
                <w:tab w:leader="none" w:pos="6120" w:val="left"/>
                <w:tab w:leader="none" w:pos="7088" w:val="left"/>
              </w:tabs>
              <w:spacing w:after="0" w:line="240" w:lineRule="auto"/>
              <w:ind w:right="-30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реализации муниципальной программы в 2023 году были заключены 8 муниципальных контрактов с организациями частной формы собственности. Доля организаций частной </w:t>
            </w:r>
            <w:r>
              <w:rPr>
                <w:rFonts w:ascii="Times New Roman" w:hAnsi="Times New Roman"/>
                <w:sz w:val="24"/>
              </w:rPr>
              <w:t>формы собственности в общем объеме работ по благоустройству городской среды в 2023 году составила 100%.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3900000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увеличения количества участников закупок на выполнение работ по благоустройству городской среды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Стимулирование новых </w:t>
            </w:r>
            <w:r>
              <w:rPr>
                <w:rFonts w:ascii="Times New Roman" w:hAnsi="Times New Roman"/>
                <w:sz w:val="24"/>
              </w:rPr>
              <w:t>предпринимательских инициатив по благоустройству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</w:tcPr>
          <w:p w14:paraId="3B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</w:t>
            </w:r>
          </w:p>
        </w:tc>
        <w:tc>
          <w:tcPr>
            <w:tcW w:type="dxa" w:w="14255"/>
            <w:gridSpan w:val="6"/>
          </w:tcPr>
          <w:p w14:paraId="3C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Рынок оказания услуг по ремонту автотранспортных средств</w:t>
            </w:r>
          </w:p>
        </w:tc>
      </w:tr>
      <w:tr>
        <w:tc>
          <w:tcPr>
            <w:tcW w:type="dxa" w:w="491"/>
            <w:vMerge w:val="restart"/>
          </w:tcPr>
          <w:p w14:paraId="3D00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vMerge w:val="restart"/>
          </w:tcPr>
          <w:p w14:paraId="3E000000">
            <w:pPr>
              <w:pStyle w:val="Style_6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type="dxa" w:w="382"/>
            <w:vMerge w:val="restart"/>
          </w:tcPr>
          <w:p w14:paraId="3F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631"/>
            <w:vMerge w:val="restart"/>
          </w:tcPr>
          <w:p w14:paraId="40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631"/>
            <w:vMerge w:val="restart"/>
          </w:tcPr>
          <w:p w14:paraId="41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5092"/>
          </w:tcPr>
          <w:p w14:paraId="4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мониторинга </w:t>
            </w:r>
            <w:r>
              <w:rPr>
                <w:sz w:val="24"/>
              </w:rPr>
              <w:t>состояния рынка ремонта автотранспортных средств</w:t>
            </w:r>
            <w:r>
              <w:rPr>
                <w:sz w:val="24"/>
              </w:rPr>
              <w:t xml:space="preserve"> МО "Город Курчатов" Курской области</w:t>
            </w:r>
          </w:p>
        </w:tc>
        <w:tc>
          <w:tcPr>
            <w:tcW w:type="dxa" w:w="5444"/>
            <w:vMerge w:val="restart"/>
          </w:tcPr>
          <w:p w14:paraId="43000000">
            <w:pPr>
              <w:pStyle w:val="Style_6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</w:t>
            </w:r>
            <w:r>
              <w:rPr>
                <w:rFonts w:ascii="Times New Roman" w:hAnsi="Times New Roman"/>
                <w:sz w:val="24"/>
              </w:rPr>
              <w:t xml:space="preserve"> единого реестра субъектов малого и среднего предпринимательства федеральной налоговой службы Российской Федерации по состоянию на 31.12.2023г. в МО "Город Курчато</w:t>
            </w:r>
            <w:r>
              <w:rPr>
                <w:rFonts w:ascii="Times New Roman" w:hAnsi="Times New Roman"/>
                <w:sz w:val="24"/>
              </w:rPr>
              <w:t>в" Курской области услуги по техническому обслуживанию и ремонту автотранспортных средств населению оказывает 21 организация – 4 общества с ограниченной ответственностью и 17 индивидуальных предпринимателей.</w:t>
            </w:r>
          </w:p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44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Оказание консультационной и методической п</w:t>
            </w:r>
            <w:r>
              <w:rPr>
                <w:sz w:val="24"/>
              </w:rPr>
              <w:t>оддержки хозяйствующим субъектам, открывающим объекты по ремонту автотранспортных средств в МО "Город Курчатов" Курской области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45000000">
            <w:pPr>
              <w:pStyle w:val="Style_5"/>
              <w:rPr>
                <w:b w:val="1"/>
                <w:sz w:val="24"/>
              </w:rPr>
            </w:pPr>
            <w:r>
              <w:rPr>
                <w:sz w:val="24"/>
              </w:rPr>
              <w:t>Проведение совещаний, направленных на выработку согласованных комплексных подходов к решению задач, связанных с развитием</w:t>
            </w:r>
            <w:r>
              <w:rPr>
                <w:sz w:val="24"/>
              </w:rPr>
              <w:t xml:space="preserve"> рынка ремонта автотранспортных средств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</w:tcPr>
          <w:p w14:paraId="46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</w:p>
        </w:tc>
        <w:tc>
          <w:tcPr>
            <w:tcW w:type="dxa" w:w="14255"/>
            <w:gridSpan w:val="6"/>
          </w:tcPr>
          <w:p w14:paraId="47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Рынок жилищного строительства</w:t>
            </w:r>
          </w:p>
        </w:tc>
      </w:tr>
      <w:tr>
        <w:tc>
          <w:tcPr>
            <w:tcW w:type="dxa" w:w="491"/>
            <w:vMerge w:val="restart"/>
          </w:tcPr>
          <w:p w14:paraId="48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  <w:vMerge w:val="restart"/>
          </w:tcPr>
          <w:p w14:paraId="49000000">
            <w:pPr>
              <w:pStyle w:val="Style_6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type="dxa" w:w="382"/>
            <w:vMerge w:val="restart"/>
          </w:tcPr>
          <w:p w14:paraId="4A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631"/>
            <w:vMerge w:val="restart"/>
          </w:tcPr>
          <w:p w14:paraId="4B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631"/>
            <w:vMerge w:val="restart"/>
          </w:tcPr>
          <w:p w14:paraId="4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5092"/>
          </w:tcPr>
          <w:p w14:paraId="4D000000">
            <w:pPr>
              <w:pStyle w:val="Style_1"/>
              <w:ind w:firstLine="0" w:left="-80" w:right="-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опубликования на официальном сайте МО "Город</w:t>
            </w:r>
            <w:r>
              <w:rPr>
                <w:rFonts w:ascii="Times New Roman" w:hAnsi="Times New Roman"/>
                <w:sz w:val="24"/>
              </w:rPr>
              <w:t xml:space="preserve"> Курчатов" Курской области в информационно - телекоммуникационной сети "Интернет"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</w:t>
            </w:r>
            <w:r>
              <w:rPr>
                <w:rFonts w:ascii="Times New Roman" w:hAnsi="Times New Roman"/>
                <w:sz w:val="24"/>
              </w:rPr>
              <w:t>ельства стандартного жилья, комплексного освоения земельных участков в целях строительства стандартного жилья, в том числе на картографической основе</w:t>
            </w:r>
          </w:p>
        </w:tc>
        <w:tc>
          <w:tcPr>
            <w:tcW w:type="dxa" w:w="5444"/>
            <w:vMerge w:val="restart"/>
          </w:tcPr>
          <w:p w14:paraId="4E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 официальном сайте МО "Город Курчатов" Курской области в разделе "Инвестиционный профиль МО "Город Курча</w:t>
            </w:r>
            <w:r>
              <w:rPr>
                <w:sz w:val="24"/>
              </w:rPr>
              <w:t xml:space="preserve">тов" на картографической основе размещен </w:t>
            </w:r>
            <w:r>
              <w:rPr>
                <w:sz w:val="24"/>
              </w:rPr>
              <w:t>мастерплан</w:t>
            </w:r>
            <w:r>
              <w:rPr>
                <w:sz w:val="24"/>
              </w:rPr>
              <w:t xml:space="preserve"> города Курчатова, в том числе планировочная зона 1 центр - южный район города Курчатова Курской области. (</w:t>
            </w:r>
            <w:r>
              <w:rPr>
                <w:rStyle w:val="Style_8_ch"/>
                <w:sz w:val="24"/>
              </w:rPr>
              <w:fldChar w:fldCharType="begin"/>
            </w:r>
            <w:r>
              <w:rPr>
                <w:rStyle w:val="Style_8_ch"/>
                <w:sz w:val="24"/>
              </w:rPr>
              <w:instrText>HYPERLINK "https://kurchatov.gosuslugi.ru/ofitsialno/investitsii-v-mo-gorod-kurchatov/investitsionnyy-profil-mo-gorod-kurchatov/"</w:instrText>
            </w:r>
            <w:r>
              <w:rPr>
                <w:rStyle w:val="Style_8_ch"/>
                <w:sz w:val="24"/>
              </w:rPr>
              <w:fldChar w:fldCharType="separate"/>
            </w:r>
            <w:r>
              <w:rPr>
                <w:rStyle w:val="Style_8_ch"/>
                <w:sz w:val="24"/>
              </w:rPr>
              <w:t>https://kurchatov.gosuslugi.ru/ofitsialno/investitsii-v-mo-gorod-kurchatov/investitsionnyy-profil-mo-gorod-kurchatov/</w:t>
            </w:r>
            <w:r>
              <w:rPr>
                <w:rStyle w:val="Style_8_ch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разделе "Инвестиционный профиль МО "Город Курчатов" размещена информация о развитии коммунальной инфр</w:t>
            </w:r>
            <w:r>
              <w:rPr>
                <w:rFonts w:ascii="Times New Roman" w:hAnsi="Times New Roman"/>
                <w:sz w:val="24"/>
              </w:rPr>
              <w:t>аструктуры города Курчатова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4"/>
              </w:rPr>
              <w:instrText>HYPERLINK "https://kurchatov.gosuslugi.ru/ofitsialno/investitsii-v-mo-gorod-kurchatov/investitsionnyy-profil-mo-gorod-kurchatov/"</w:instrTex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4"/>
              </w:rPr>
              <w:t>https://kurchatov.gosuslugi.ru/ofitsialno/investitsii-v-mo-gorod-kurchatov/investitsionnyy-profil-</w:t>
            </w:r>
            <w:r>
              <w:rPr>
                <w:rStyle w:val="Style_8_ch"/>
                <w:rFonts w:ascii="Times New Roman" w:hAnsi="Times New Roman"/>
                <w:sz w:val="24"/>
              </w:rPr>
              <w:t>mo-gorod-kurchatov/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в разделе "Инвестиционный профиль МО "Город Курчатов" размещена информация о состоянии транспортной инфраструктуры города Курчатова на картографической основе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4"/>
              </w:rPr>
              <w:instrText>HYPERLINK "https://kurchatov.gosuslugi.ru/ofitsialno/investitsii-v-mo-gorod-kurchatov/investitsionnyy-profil-mo-gorod-kurchatov/"</w:instrTex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4"/>
              </w:rPr>
              <w:t>https://kurchatov.gosuslugi.ru/ofitsialno/investitsii-v-mo-gorod-kurchatov/investitsionnyy-profil-mo-gorod-kurchatov/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3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 настоящее время рынок жилищного строительства представлен только п</w:t>
            </w:r>
            <w:r>
              <w:rPr>
                <w:sz w:val="24"/>
              </w:rPr>
              <w:t>редприятиями-застройщиками частных форм собственности.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 2023 год</w:t>
            </w:r>
            <w:r>
              <w:rPr>
                <w:rFonts w:ascii="Times New Roman" w:hAnsi="Times New Roman"/>
                <w:sz w:val="24"/>
              </w:rPr>
              <w:t>у  ООО</w:t>
            </w:r>
            <w:r>
              <w:rPr>
                <w:rFonts w:ascii="Times New Roman" w:hAnsi="Times New Roman"/>
                <w:sz w:val="24"/>
              </w:rPr>
              <w:t xml:space="preserve"> Специализированный </w:t>
            </w:r>
            <w:r>
              <w:rPr>
                <w:rFonts w:ascii="Times New Roman" w:hAnsi="Times New Roman"/>
                <w:sz w:val="24"/>
              </w:rPr>
              <w:t xml:space="preserve">застройщик «Каскад+» завершил строительство 1 секции многоквартирного жилого дома по                     ул. Набережная д. 19, общей жилой  площадью                  4827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Индивидуальными застройщиками введено в эксплуатацию 5788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. жилья</w:t>
            </w:r>
          </w:p>
          <w:p w14:paraId="56000000">
            <w:pPr>
              <w:pStyle w:val="Style_5"/>
              <w:ind w:firstLine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в 2023 году введено 10615 </w:t>
            </w:r>
            <w:r>
              <w:rPr>
                <w:sz w:val="24"/>
              </w:rPr>
              <w:t>кв.м</w:t>
            </w:r>
            <w:r>
              <w:rPr>
                <w:sz w:val="24"/>
              </w:rPr>
              <w:t>. жилья.</w:t>
            </w:r>
          </w:p>
          <w:p w14:paraId="57000000">
            <w:pPr>
              <w:pStyle w:val="Style_5"/>
              <w:ind w:firstLine="210"/>
              <w:jc w:val="both"/>
              <w:rPr>
                <w:sz w:val="24"/>
              </w:rPr>
            </w:pPr>
            <w:r>
              <w:rPr>
                <w:sz w:val="24"/>
              </w:rPr>
              <w:t>В течение 2023 года по итогам аукциона были заключены 2 договора купли – продажи земельных участков для ИЖС. Трижды размещалось извещение о проведен</w:t>
            </w:r>
            <w:r>
              <w:rPr>
                <w:sz w:val="24"/>
              </w:rPr>
              <w:t>ии ау</w:t>
            </w:r>
            <w:r>
              <w:rPr>
                <w:sz w:val="24"/>
              </w:rPr>
              <w:t xml:space="preserve">кциона на право заключения договора купли – </w:t>
            </w:r>
            <w:r>
              <w:rPr>
                <w:sz w:val="24"/>
              </w:rPr>
              <w:t>продажи земельного участка для ИЖС, заявок на участие подано не было.</w:t>
            </w:r>
          </w:p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58000000">
            <w:pPr>
              <w:pStyle w:val="Style_5"/>
              <w:ind w:firstLine="0" w:left="-87" w:right="-108"/>
              <w:rPr>
                <w:sz w:val="24"/>
              </w:rPr>
            </w:pPr>
            <w:r>
              <w:rPr>
                <w:sz w:val="24"/>
              </w:rPr>
              <w:t>Обеспечение опубликования на официальном сайте МО "Город Курчатов" Курской области в информационно - телекоммуникационной сети "Интернет" актуальных планов по созданию объектов инф</w:t>
            </w:r>
            <w:r>
              <w:rPr>
                <w:sz w:val="24"/>
              </w:rPr>
              <w:t>раструктуры, в том числе на картографической основе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59000000">
            <w:pPr>
              <w:pStyle w:val="Style_1"/>
              <w:tabs>
                <w:tab w:leader="none" w:pos="2897" w:val="left"/>
              </w:tabs>
              <w:ind w:firstLine="0" w:left="-80" w:right="-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</w:t>
            </w:r>
            <w:r>
              <w:rPr>
                <w:rFonts w:ascii="Times New Roman" w:hAnsi="Times New Roman"/>
                <w:sz w:val="24"/>
              </w:rPr>
              <w:t>комплексного освоения земельных участков в целях строительства стандартного жилья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</w:tcPr>
          <w:p w14:paraId="5A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</w:p>
        </w:tc>
        <w:tc>
          <w:tcPr>
            <w:tcW w:type="dxa" w:w="14255"/>
            <w:gridSpan w:val="6"/>
          </w:tcPr>
          <w:p w14:paraId="5B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Theme="minorAscii" w:hAnsiTheme="minorHAnsi"/>
                <w:b w:val="1"/>
                <w:sz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>
        <w:tc>
          <w:tcPr>
            <w:tcW w:type="dxa" w:w="491"/>
            <w:vMerge w:val="restart"/>
          </w:tcPr>
          <w:p w14:paraId="5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vMerge w:val="restart"/>
          </w:tcPr>
          <w:p w14:paraId="5D000000">
            <w:pPr>
              <w:pStyle w:val="Style_5"/>
              <w:ind w:firstLine="0" w:left="-54" w:right="-113"/>
              <w:rPr>
                <w:sz w:val="24"/>
              </w:rPr>
            </w:pPr>
            <w:r>
              <w:rPr>
                <w:sz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type="dxa" w:w="382"/>
            <w:vMerge w:val="restart"/>
          </w:tcPr>
          <w:p w14:paraId="5E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631"/>
            <w:vMerge w:val="restart"/>
          </w:tcPr>
          <w:p w14:paraId="5F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631"/>
            <w:vMerge w:val="restart"/>
          </w:tcPr>
          <w:p w14:paraId="60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5092"/>
          </w:tcPr>
          <w:p w14:paraId="61000000">
            <w:pPr>
              <w:pStyle w:val="Style_1"/>
              <w:ind w:firstLine="0" w:left="-8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предоставления муниципальных услуг по выдаче разрешения на строительство, а так</w:t>
            </w:r>
            <w:r>
              <w:rPr>
                <w:rFonts w:ascii="Times New Roman" w:hAnsi="Times New Roman"/>
                <w:sz w:val="24"/>
              </w:rPr>
              <w:t>же разрешения на ввод объекта в эксплуатацию в электронном виде</w:t>
            </w:r>
          </w:p>
        </w:tc>
        <w:tc>
          <w:tcPr>
            <w:tcW w:type="dxa" w:w="5444"/>
            <w:vMerge w:val="restart"/>
          </w:tcPr>
          <w:p w14:paraId="62000000">
            <w:pPr>
              <w:pStyle w:val="Style_5"/>
              <w:ind w:right="-108"/>
              <w:rPr>
                <w:sz w:val="24"/>
              </w:rPr>
            </w:pPr>
            <w:r>
              <w:rPr>
                <w:sz w:val="24"/>
              </w:rPr>
              <w:t>В 2023 году администрацией города Курчатова Курской области было обеспечено предоставление 52 муниципальных услуг: 36 по выдаче разрешения на строительство и 16 по выдаче разрешений на ввод об</w:t>
            </w:r>
            <w:r>
              <w:rPr>
                <w:sz w:val="24"/>
              </w:rPr>
              <w:t>ъекта в эксплуатацию.</w:t>
            </w:r>
          </w:p>
          <w:p w14:paraId="63000000">
            <w:pPr>
              <w:pStyle w:val="Style_9"/>
              <w:tabs>
                <w:tab w:leader="none" w:pos="9356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официальном сайте МО "Город Курчатов" Курской области в разделе "Регламенты Комитета архитектуры" опубликованы проекты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 xml:space="preserve">административных регламентов по предоставлению муниципальных услуг: "Выдача градостроительного плана земельного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 xml:space="preserve">участка", </w:t>
            </w:r>
            <w:r>
              <w:rPr>
                <w:rFonts w:ascii="Times New Roman" w:hAnsi="Times New Roman"/>
                <w:sz w:val="24"/>
              </w:rPr>
              <w:t xml:space="preserve">"Выдача разрешений на строительство и реконструкцию объектов капитального </w:t>
            </w:r>
            <w:r>
              <w:rPr>
                <w:rFonts w:ascii="Times New Roman" w:hAnsi="Times New Roman"/>
                <w:sz w:val="24"/>
              </w:rPr>
              <w:t>строительства",</w:t>
            </w: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 </w:t>
            </w:r>
            <w:r>
              <w:rPr>
                <w:rStyle w:val="Style_10_ch"/>
                <w:rFonts w:ascii="Times New Roman" w:hAnsi="Times New Roman"/>
                <w:b w:val="0"/>
                <w:sz w:val="24"/>
              </w:rPr>
              <w:t>"Выдача разрешений на ввод объектов в эксплуатацию",</w:t>
            </w:r>
            <w:r>
              <w:rPr>
                <w:rStyle w:val="Style_10_ch"/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"Выдача акта освидетельствования проведения основных работ по строительству (реконструкции) объекта инд</w:t>
            </w:r>
            <w:r>
              <w:rPr>
                <w:rFonts w:ascii="Times New Roman" w:hAnsi="Times New Roman"/>
                <w:sz w:val="24"/>
              </w:rPr>
              <w:t xml:space="preserve">ивидуального жилищного строительства с привлечением средств материнского (семейного) капитала"                    </w:t>
            </w:r>
          </w:p>
          <w:p w14:paraId="64000000">
            <w:pPr>
              <w:pStyle w:val="Style_5"/>
              <w:ind w:right="-108"/>
              <w:rPr>
                <w:color w:val="FF0000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color w:val="0070C0"/>
                <w:sz w:val="24"/>
                <w:u w:val="single"/>
              </w:rPr>
              <w:t>https://kurchatov.gosuslugi.ru/deyatelnost/napravleniya-deyatelnosti/gradostroitelstvo/</w:t>
            </w:r>
            <w:r>
              <w:rPr>
                <w:sz w:val="24"/>
              </w:rPr>
              <w:t>).</w:t>
            </w:r>
          </w:p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65000000">
            <w:pPr>
              <w:pStyle w:val="Style_1"/>
              <w:ind w:firstLine="0" w:left="-8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опубликования и актуализации на официальном сайте МО "Город Курчатов" Курской области в информационно - телекоммуникационной сети "Интернет" административных регламентов предоставления муниципальных услуг по выдаче градостроительного плана земе</w:t>
            </w:r>
            <w:r>
              <w:rPr>
                <w:rFonts w:ascii="Times New Roman" w:hAnsi="Times New Roman"/>
                <w:sz w:val="24"/>
              </w:rPr>
              <w:t>льного участка, разрешения на строительство и разрешения на ввод объекта в эксплуатацию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</w:tcPr>
          <w:p w14:paraId="66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7.</w:t>
            </w:r>
          </w:p>
        </w:tc>
        <w:tc>
          <w:tcPr>
            <w:tcW w:type="dxa" w:w="14255"/>
            <w:gridSpan w:val="6"/>
          </w:tcPr>
          <w:p w14:paraId="67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Рынок кадастровых и землеустроительных работ</w:t>
            </w:r>
          </w:p>
        </w:tc>
      </w:tr>
      <w:tr>
        <w:tc>
          <w:tcPr>
            <w:tcW w:type="dxa" w:w="491"/>
          </w:tcPr>
          <w:p w14:paraId="68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</w:tcPr>
          <w:p w14:paraId="69000000">
            <w:pPr>
              <w:pStyle w:val="Style_6"/>
              <w:spacing w:line="240" w:lineRule="auto"/>
              <w:ind w:firstLine="0" w:left="-54" w:right="-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type="dxa" w:w="382"/>
          </w:tcPr>
          <w:p w14:paraId="6A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631"/>
          </w:tcPr>
          <w:p w14:paraId="6B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631"/>
          </w:tcPr>
          <w:p w14:paraId="6C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5092"/>
          </w:tcPr>
          <w:p w14:paraId="6D000000">
            <w:pPr>
              <w:pStyle w:val="Style_6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</w:rPr>
              <w:t>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type="dxa" w:w="5444"/>
          </w:tcPr>
          <w:p w14:paraId="6E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в сфере кадастровых и землеустроительных работ на территории МО "Город Курчатов" Курской области предоставляются только организациями частн</w:t>
            </w:r>
            <w:r>
              <w:rPr>
                <w:sz w:val="24"/>
              </w:rPr>
              <w:t>ой формы собственности. В 2023 году услуги представляли 5 организаций частной формы собственности.</w:t>
            </w:r>
          </w:p>
          <w:p w14:paraId="6F000000">
            <w:pPr>
              <w:pStyle w:val="Style_5"/>
              <w:ind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Сформирован перечень незарегистрированных объектов недвижимости. Сведения о незарегистрированных объектах недвижимости доведены до их правообладателей.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>
        <w:tc>
          <w:tcPr>
            <w:tcW w:type="dxa" w:w="491"/>
          </w:tcPr>
          <w:p w14:paraId="70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</w:t>
            </w:r>
          </w:p>
        </w:tc>
        <w:tc>
          <w:tcPr>
            <w:tcW w:type="dxa" w:w="14255"/>
            <w:gridSpan w:val="6"/>
          </w:tcPr>
          <w:p w14:paraId="71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Сфера наружной рекламы</w:t>
            </w:r>
          </w:p>
        </w:tc>
      </w:tr>
      <w:tr>
        <w:tc>
          <w:tcPr>
            <w:tcW w:type="dxa" w:w="491"/>
            <w:vMerge w:val="restart"/>
          </w:tcPr>
          <w:p w14:paraId="72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  <w:vMerge w:val="restart"/>
          </w:tcPr>
          <w:p w14:paraId="73000000">
            <w:pPr>
              <w:pStyle w:val="Style_6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type="dxa" w:w="382"/>
            <w:vMerge w:val="restart"/>
          </w:tcPr>
          <w:p w14:paraId="74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631"/>
            <w:vMerge w:val="restart"/>
          </w:tcPr>
          <w:p w14:paraId="75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631"/>
            <w:vMerge w:val="restart"/>
          </w:tcPr>
          <w:p w14:paraId="7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5092"/>
          </w:tcPr>
          <w:p w14:paraId="77000000">
            <w:pPr>
              <w:pStyle w:val="Style_1"/>
              <w:ind w:firstLine="0" w:left="-87" w:right="-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схем размещения рекламных конструкций</w:t>
            </w:r>
          </w:p>
        </w:tc>
        <w:tc>
          <w:tcPr>
            <w:tcW w:type="dxa" w:w="5444"/>
            <w:vMerge w:val="restart"/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официальном сайте МО "Город Курчатов" </w:t>
            </w:r>
            <w:r>
              <w:rPr>
                <w:rFonts w:ascii="Times New Roman" w:hAnsi="Times New Roman"/>
                <w:sz w:val="24"/>
              </w:rPr>
              <w:t xml:space="preserve">Курской области размещена утвержденная решением Курчатовской городской Думы от 12.10.2016 №7 схема размещения рекламных конструкций на территории муниципального образования "Город Курчатов" Курской области </w:t>
            </w:r>
          </w:p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4"/>
              </w:rPr>
              <w:instrText>HYPERLINK "https://kurchatov.gosuslugi.ru/deyatelnost/napravleniya-deyatelnosti/gradostroitelstvo/dokumenty_1517.html"</w:instrTex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4"/>
              </w:rPr>
              <w:t>https://kurchatov.gosuslugi.ru/deyatelnost/napravleniya-deyatelnosti/gradostroitelstvo/dokumenty_1517.html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Также в разделе Комитет архитектуры официального сайта МО "Город Курчатов" </w:t>
            </w:r>
            <w:r>
              <w:rPr>
                <w:rFonts w:ascii="Times New Roman" w:hAnsi="Times New Roman"/>
                <w:sz w:val="24"/>
              </w:rPr>
              <w:t>Курской области  размещены административный регламент по предоставлению муниципальной услуги "Выдача разрешений на установку и эксплуатацию рекламных конструкций на территории муниципального образования "Город Курчатов" Курской области, аннулирование таких</w:t>
            </w:r>
            <w:r>
              <w:rPr>
                <w:rFonts w:ascii="Times New Roman" w:hAnsi="Times New Roman"/>
                <w:sz w:val="24"/>
              </w:rPr>
              <w:t xml:space="preserve"> разрешений", проект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«Город Курчатов»,  перечень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всех нормативных правовых акт</w:t>
            </w:r>
            <w:r>
              <w:rPr>
                <w:rFonts w:ascii="Times New Roman" w:hAnsi="Times New Roman"/>
                <w:sz w:val="24"/>
              </w:rPr>
              <w:t>ов, регулирующих сферу наружной рекламы, Положение о порядке распространения наружной рекламы в городе Курчатове, Положение об организации и проведении аукциона на право заключения договора на установку и эксплуатацию рекламной конструкции на земельном уча</w:t>
            </w:r>
            <w:r>
              <w:rPr>
                <w:rFonts w:ascii="Times New Roman" w:hAnsi="Times New Roman"/>
                <w:sz w:val="24"/>
              </w:rPr>
              <w:t xml:space="preserve">стке, находящемся в муниципальной собственности или собственность на который не разграничена, либо здании или ином недвижимом имуществе, находящемся в собственности муниципального образования </w:t>
            </w:r>
            <w:r>
              <w:rPr>
                <w:rFonts w:ascii="Times New Roman" w:hAnsi="Times New Roman"/>
                <w:sz w:val="24"/>
              </w:rPr>
              <w:t>"Город Курчатов"  Курской</w:t>
            </w:r>
            <w:r>
              <w:rPr>
                <w:rFonts w:ascii="Times New Roman" w:hAnsi="Times New Roman"/>
                <w:sz w:val="24"/>
              </w:rPr>
              <w:t xml:space="preserve"> области</w:t>
            </w:r>
          </w:p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(http://kurchatov.info/index.p</w:t>
            </w:r>
            <w:r>
              <w:rPr>
                <w:rFonts w:ascii="Times New Roman" w:hAnsi="Times New Roman"/>
                <w:sz w:val="24"/>
              </w:rPr>
              <w:t>hp?option=com_content&amp;view=category&amp;id=178&amp;Itemid=299) (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4"/>
              </w:rPr>
              <w:instrText>HYPERLINK "http://kurchatov.info/index.php?option=com_content&amp;view=category&amp;id=147&amp;Itemid=273"</w:instrTex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4"/>
              </w:rPr>
              <w:t>http://kurchatov.info/index.php?option=com_content&amp;view=category&amp;id=147&amp;Itemid=273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4"/>
              </w:rPr>
              <w:instrText>HYPERLINK "https://kurchatov.gosuslugi.ru/deyatelnost/napravleniya-deyatelnosti/gradostroitelstvo/dokumenty_1332.html"</w:instrTex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4"/>
              </w:rPr>
              <w:t>https://kurchatov.gosuslugi.ru/deyatelnost/napravleniya-deyatelnosti/gradostroitelstvo/dokumenty_1332.html</w:t>
            </w:r>
            <w:r>
              <w:rPr>
                <w:rStyle w:val="Style_8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D000000">
            <w:pPr>
              <w:pStyle w:val="Style_1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торги на право установки и эксплу</w:t>
            </w:r>
            <w:r>
              <w:rPr>
                <w:rFonts w:ascii="Times New Roman" w:hAnsi="Times New Roman"/>
                <w:sz w:val="24"/>
              </w:rPr>
              <w:t>атации рекламных конструкций не проводились. Разрешения на установку и эксплуатацию  рекламных конструкций в 2023 году не выдавались.</w:t>
            </w:r>
          </w:p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7E000000">
            <w:pPr>
              <w:pStyle w:val="Style_1"/>
              <w:ind w:firstLine="0" w:left="-87" w:right="-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официальном сайте МО "Город Курчатов" Курской области перечня всех нормативных правовых актов, </w:t>
            </w:r>
            <w:r>
              <w:rPr>
                <w:rFonts w:ascii="Times New Roman" w:hAnsi="Times New Roman"/>
                <w:sz w:val="24"/>
              </w:rPr>
              <w:t>регулирующих сферы наружной рекламы</w:t>
            </w: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7F000000">
            <w:pPr>
              <w:pStyle w:val="Style_1"/>
              <w:ind w:right="-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 </w:t>
            </w:r>
          </w:p>
          <w:p w14:paraId="80000000">
            <w:pPr>
              <w:pStyle w:val="Style_1"/>
              <w:ind w:right="-13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44"/>
            <w:gridSpan w:val="1"/>
            <w:vMerge w:val="continue"/>
          </w:tcPr>
          <w:p/>
        </w:tc>
      </w:tr>
      <w:tr>
        <w:tc>
          <w:tcPr>
            <w:tcW w:type="dxa" w:w="491"/>
          </w:tcPr>
          <w:p w14:paraId="81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</w:t>
            </w:r>
          </w:p>
        </w:tc>
        <w:tc>
          <w:tcPr>
            <w:tcW w:type="dxa" w:w="14255"/>
            <w:gridSpan w:val="6"/>
          </w:tcPr>
          <w:p w14:paraId="82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Рынок оказания услуг по перевозке </w:t>
            </w:r>
            <w:r>
              <w:rPr>
                <w:rFonts w:ascii="Times New Roman" w:hAnsi="Times New Roman"/>
                <w:b w:val="1"/>
                <w:sz w:val="24"/>
              </w:rPr>
              <w:t>пассажиров автомобильным транспортом по муниципальным маршрутам регулярных перевозок</w:t>
            </w:r>
          </w:p>
        </w:tc>
      </w:tr>
      <w:tr>
        <w:tc>
          <w:tcPr>
            <w:tcW w:type="dxa" w:w="491"/>
            <w:vMerge w:val="restart"/>
          </w:tcPr>
          <w:p w14:paraId="83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  <w:vMerge w:val="restart"/>
          </w:tcPr>
          <w:p w14:paraId="84000000">
            <w:pPr>
              <w:pStyle w:val="Style_5"/>
              <w:ind w:firstLine="0" w:left="-93" w:right="-110"/>
              <w:rPr>
                <w:sz w:val="24"/>
              </w:rPr>
            </w:pPr>
            <w:r>
              <w:rPr>
                <w:sz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  <w:p w14:paraId="85000000">
            <w:pPr>
              <w:pStyle w:val="Style_6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2"/>
            <w:vMerge w:val="restart"/>
          </w:tcPr>
          <w:p w14:paraId="86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631"/>
            <w:vMerge w:val="restart"/>
          </w:tcPr>
          <w:p w14:paraId="87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631"/>
            <w:vMerge w:val="restart"/>
          </w:tcPr>
          <w:p w14:paraId="88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5092"/>
          </w:tcPr>
          <w:p w14:paraId="89000000">
            <w:pPr>
              <w:pStyle w:val="Style_1"/>
              <w:ind w:firstLine="0" w:left="-80" w:right="-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МО "Город Курчатов" Курской области информации о порядке проведения конкурсных процедур на право осуществления перевозок по муниципальным маршрутам МО "Город Курчатов" Курской области</w:t>
            </w:r>
          </w:p>
        </w:tc>
        <w:tc>
          <w:tcPr>
            <w:tcW w:type="dxa" w:w="5444"/>
            <w:vMerge w:val="restart"/>
            <w:shd w:fill="auto" w:val="clear"/>
          </w:tcPr>
          <w:p w14:paraId="8A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2023 году </w:t>
            </w:r>
            <w:r>
              <w:rPr>
                <w:sz w:val="24"/>
              </w:rPr>
              <w:t>транспортное обслуживание</w:t>
            </w:r>
            <w:r>
              <w:rPr>
                <w:sz w:val="24"/>
                <w:shd w:fill="AFD095" w:val="clear"/>
              </w:rPr>
              <w:t xml:space="preserve"> </w:t>
            </w:r>
            <w:r>
              <w:rPr>
                <w:sz w:val="24"/>
              </w:rPr>
              <w:t>населения по муниципальным маршрутам</w:t>
            </w:r>
            <w:r>
              <w:rPr>
                <w:sz w:val="24"/>
                <w:shd w:fill="AFD095" w:val="clear"/>
              </w:rPr>
              <w:t xml:space="preserve"> </w:t>
            </w:r>
            <w:r>
              <w:rPr>
                <w:sz w:val="24"/>
              </w:rPr>
              <w:t>регулярных перевозок осуществляли 2 индивидуальных предпринимателя и 1 простое</w:t>
            </w:r>
            <w:r>
              <w:rPr>
                <w:sz w:val="24"/>
                <w:shd w:fill="AFD095" w:val="clear"/>
              </w:rPr>
              <w:t xml:space="preserve"> </w:t>
            </w:r>
            <w:r>
              <w:rPr>
                <w:sz w:val="24"/>
              </w:rPr>
              <w:t>товарищество (4 индивидуальных</w:t>
            </w:r>
            <w:r>
              <w:rPr>
                <w:sz w:val="24"/>
                <w:shd w:fill="AFD095" w:val="clear"/>
              </w:rPr>
              <w:t xml:space="preserve"> </w:t>
            </w:r>
            <w:r>
              <w:rPr>
                <w:sz w:val="24"/>
              </w:rPr>
              <w:t>предпринимателя).</w:t>
            </w:r>
          </w:p>
          <w:p w14:paraId="8B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2023 году на основании Протокола заседания регионального штаба </w:t>
            </w:r>
            <w:r>
              <w:rPr>
                <w:sz w:val="24"/>
              </w:rPr>
              <w:t>по повышению</w:t>
            </w:r>
            <w:r>
              <w:rPr>
                <w:sz w:val="24"/>
                <w:shd w:fill="AFD095" w:val="clear"/>
              </w:rPr>
              <w:t xml:space="preserve"> </w:t>
            </w:r>
            <w:r>
              <w:rPr>
                <w:sz w:val="24"/>
                <w:shd w:themeFill="background1" w:val="clear"/>
              </w:rPr>
              <w:t xml:space="preserve">устойчивости экономики Курской области под председательством Губернатора Курской области Р.В. </w:t>
            </w:r>
            <w:r>
              <w:rPr>
                <w:sz w:val="24"/>
                <w:shd w:themeFill="background1" w:val="clear"/>
              </w:rPr>
              <w:t>Старовойта</w:t>
            </w:r>
            <w:r>
              <w:rPr>
                <w:sz w:val="24"/>
                <w:shd w:themeFill="background1" w:val="clear"/>
              </w:rPr>
              <w:t xml:space="preserve"> заключен муниципальный контракт на осуществление регулярных перевозок пассажиров и багажа автомобильным транспортом </w:t>
            </w:r>
            <w:r>
              <w:rPr>
                <w:sz w:val="24"/>
                <w:shd w:themeFill="background1" w:val="clear"/>
              </w:rPr>
              <w:t>по регулируемым тарифа</w:t>
            </w:r>
            <w:r>
              <w:rPr>
                <w:sz w:val="24"/>
                <w:shd w:themeFill="background1" w:val="clear"/>
              </w:rPr>
              <w:t>м по муниципальному маршруту города Курчатова №2 на сумму 1,393 млн. руб.</w:t>
            </w:r>
          </w:p>
          <w:p w14:paraId="8C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  <w:shd w:themeFill="background1" w:val="clear"/>
              </w:rPr>
              <w:t>С августа 2019 года действует комплексная схема организации дорожного движения и проект организации дорожного движения на территории МО "Город Курчатов" Курской области (постановлени</w:t>
            </w:r>
            <w:r>
              <w:rPr>
                <w:sz w:val="24"/>
                <w:shd w:themeFill="background1" w:val="clear"/>
              </w:rPr>
              <w:t>я администрации города Курчатова Курской области от  22.08.2019 № 1012 и от 27.08.2019 № 1029). В 2024 году планируется разработка новой схемы организации дорожного движения с учетом внесенных изменений в законодательные акты и государственные стандарты Ро</w:t>
            </w:r>
            <w:r>
              <w:rPr>
                <w:sz w:val="24"/>
                <w:shd w:themeFill="background1" w:val="clear"/>
              </w:rPr>
              <w:t>ссийской Федерации.</w:t>
            </w:r>
          </w:p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8D000000">
            <w:pPr>
              <w:pStyle w:val="Style_1"/>
              <w:ind w:firstLine="0" w:left="-80" w:right="-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документа планирования регулярных автоперевозок пассажиров по муниципальным маршрутам с учетом полученной в ходе анализа информации и внесение соответствующих изменений</w:t>
            </w:r>
          </w:p>
        </w:tc>
        <w:tc>
          <w:tcPr>
            <w:tcW w:type="dxa" w:w="5444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491"/>
          </w:tcPr>
          <w:p w14:paraId="8E000000">
            <w:pPr>
              <w:pStyle w:val="Style_6"/>
              <w:ind w:right="-16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</w:t>
            </w:r>
          </w:p>
        </w:tc>
        <w:tc>
          <w:tcPr>
            <w:tcW w:type="dxa" w:w="14255"/>
            <w:gridSpan w:val="6"/>
          </w:tcPr>
          <w:p w14:paraId="8F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Рынок торговли</w:t>
            </w:r>
          </w:p>
        </w:tc>
      </w:tr>
      <w:tr>
        <w:tc>
          <w:tcPr>
            <w:tcW w:type="dxa" w:w="491"/>
            <w:vMerge w:val="restart"/>
          </w:tcPr>
          <w:p w14:paraId="90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76"/>
            <w:vMerge w:val="restart"/>
          </w:tcPr>
          <w:p w14:paraId="91000000">
            <w:pPr>
              <w:pStyle w:val="Style_6"/>
              <w:spacing w:line="240" w:lineRule="auto"/>
              <w:ind w:firstLine="0" w:left="-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нестационарных и</w:t>
            </w:r>
            <w:r>
              <w:rPr>
                <w:rFonts w:ascii="Times New Roman" w:hAnsi="Times New Roman"/>
                <w:sz w:val="24"/>
              </w:rPr>
              <w:t xml:space="preserve"> мобильных торговых объектов, и торговых мест под них</w:t>
            </w:r>
          </w:p>
        </w:tc>
        <w:tc>
          <w:tcPr>
            <w:tcW w:type="dxa" w:w="382"/>
            <w:vMerge w:val="restart"/>
          </w:tcPr>
          <w:p w14:paraId="92000000">
            <w:pPr>
              <w:pStyle w:val="Style_6"/>
              <w:spacing w:line="240" w:lineRule="auto"/>
              <w:ind w:firstLine="0" w:left="-103" w:right="-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631"/>
            <w:vMerge w:val="restart"/>
          </w:tcPr>
          <w:p w14:paraId="93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type="dxa" w:w="631"/>
            <w:vMerge w:val="restart"/>
          </w:tcPr>
          <w:p w14:paraId="94000000">
            <w:pPr>
              <w:pStyle w:val="Style_6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type="dxa" w:w="5092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1_ch"/>
                <w:sz w:val="24"/>
              </w:rPr>
              <w:t>Подготовка предложений по изменению схемы размещения нестационарных торговых объектов (расширение перечня объектов)</w:t>
            </w:r>
          </w:p>
        </w:tc>
        <w:tc>
          <w:tcPr>
            <w:tcW w:type="dxa" w:w="5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целях упорядочения мелкорозничной торговли на территории г. Курчатова в </w:t>
            </w:r>
            <w:r>
              <w:rPr>
                <w:rFonts w:ascii="Times New Roman" w:hAnsi="Times New Roman"/>
                <w:sz w:val="24"/>
              </w:rPr>
              <w:t xml:space="preserve">2023 году вносились изменения в </w:t>
            </w:r>
            <w:r>
              <w:rPr>
                <w:rStyle w:val="Style_11_ch"/>
                <w:sz w:val="24"/>
              </w:rPr>
              <w:t xml:space="preserve">схему размещения нестационарных торговых объектов. Они были утверждены постановлением  администрации города Курчатова от </w:t>
            </w:r>
            <w:r>
              <w:rPr>
                <w:rFonts w:ascii="Times New Roman" w:hAnsi="Times New Roman"/>
                <w:sz w:val="24"/>
              </w:rPr>
              <w:t xml:space="preserve">03.11.2023 №1574 "Об утверждении схемы </w:t>
            </w:r>
            <w:r>
              <w:rPr>
                <w:rStyle w:val="Style_11_ch"/>
                <w:sz w:val="24"/>
              </w:rPr>
              <w:t xml:space="preserve">размещения нестационарных торговых объектов </w:t>
            </w:r>
            <w:r>
              <w:rPr>
                <w:rFonts w:ascii="Times New Roman" w:hAnsi="Times New Roman"/>
                <w:sz w:val="24"/>
              </w:rPr>
              <w:t>на территории муници</w:t>
            </w:r>
            <w:r>
              <w:rPr>
                <w:rFonts w:ascii="Times New Roman" w:hAnsi="Times New Roman"/>
                <w:sz w:val="24"/>
              </w:rPr>
              <w:t xml:space="preserve">пального образования "Город Курчатов" Курской области". По состоянию на 31.12.2023 года Схема включала в себя 168 мест. В связи с прекращением деятельности нескольких объектов мелкорозничной торговли и прекращением </w:t>
            </w:r>
            <w:r>
              <w:rPr>
                <w:rFonts w:ascii="Times New Roman" w:hAnsi="Times New Roman"/>
                <w:sz w:val="24"/>
              </w:rPr>
              <w:t>действия договоров аренды, численность то</w:t>
            </w:r>
            <w:r>
              <w:rPr>
                <w:rFonts w:ascii="Times New Roman" w:hAnsi="Times New Roman"/>
                <w:sz w:val="24"/>
              </w:rPr>
              <w:t xml:space="preserve">рговых мест, утвержденных в Схеме </w:t>
            </w:r>
            <w:r>
              <w:rPr>
                <w:rFonts w:ascii="Times New Roman" w:hAnsi="Times New Roman"/>
                <w:sz w:val="24"/>
              </w:rPr>
              <w:t>на конец</w:t>
            </w:r>
            <w:r>
              <w:rPr>
                <w:rFonts w:ascii="Times New Roman" w:hAnsi="Times New Roman"/>
                <w:sz w:val="24"/>
              </w:rPr>
              <w:t xml:space="preserve"> 2023 года снизилась.    </w:t>
            </w:r>
          </w:p>
          <w:p w14:paraId="97000000">
            <w:pPr>
              <w:pStyle w:val="Style_5"/>
              <w:ind w:firstLine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Style_11_ch"/>
                <w:sz w:val="24"/>
              </w:rPr>
              <w:t xml:space="preserve"> В целях определения спроса (потребности) в предоставлении мест под размещение нестационарных торговых объектов </w:t>
            </w:r>
            <w:r>
              <w:rPr>
                <w:sz w:val="24"/>
              </w:rPr>
              <w:t xml:space="preserve">комитетом по управлению имуществом г. Курчатова проводится инвентаризация </w:t>
            </w:r>
            <w:r>
              <w:rPr>
                <w:sz w:val="24"/>
              </w:rPr>
              <w:t>нестационарных торговых объектов.</w:t>
            </w:r>
          </w:p>
          <w:p w14:paraId="98000000">
            <w:pPr>
              <w:spacing w:after="0" w:line="240" w:lineRule="auto"/>
              <w:ind w:firstLine="210"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Постановлением администрации города Курчатова от 08.11.2022г. №1634 "Об утверждении графика проведения ярмарок на территории  города Курчатова в 2023 году" был утвержден график проведения ярмарок на территории города Курча</w:t>
            </w:r>
            <w:r>
              <w:rPr>
                <w:rFonts w:ascii="Times New Roman" w:hAnsi="Times New Roman"/>
                <w:sz w:val="24"/>
              </w:rPr>
              <w:t>това.</w:t>
            </w:r>
            <w:r>
              <w:rPr>
                <w:rFonts w:asciiTheme="minorAscii" w:hAnsiTheme="minorHAnsi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официальном сайте МО "Город Курчатов"  был размещен сводный график проведения ярмарок на территории города Курчатова в 2023 году, который  включал также ярмарки, проводимые  региональными операторами Курской области.</w:t>
            </w:r>
          </w:p>
          <w:p w14:paraId="99000000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утвержденному графику</w:t>
            </w:r>
            <w:r>
              <w:rPr>
                <w:rFonts w:ascii="Times New Roman" w:hAnsi="Times New Roman"/>
                <w:sz w:val="24"/>
              </w:rPr>
              <w:t xml:space="preserve"> в 2023 году  было запланировано проведение 47 ярмарок. Фактически в 2023 году были проведены 25 ярмарок.</w:t>
            </w:r>
          </w:p>
          <w:p w14:paraId="9A000000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Постановлением Правительства  Курской области от 02.08.2023 № 857-пп "Об утверждении нормативов минимальной обеспеченности населения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площадью торговых объектов на территории Курской области" норматив минимальной обеспеченности населения Курской области площадью (количеством) нестационарных торговых объектов показатель по г. Курчатову составляет 75, что выше установленного по городу в 3</w:t>
            </w:r>
            <w:r>
              <w:rPr>
                <w:rFonts w:ascii="Times New Roman" w:hAnsi="Times New Roman"/>
                <w:sz w:val="24"/>
              </w:rPr>
              <w:t>,1 раза.</w:t>
            </w:r>
          </w:p>
          <w:p w14:paraId="9B000000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основании проводимого мониторинга товарного рынка города Курчатова можно сделать вывод об отсутствии нездоровой конкуренции и стабильности поставок товаров в течение года. Жители города обеспечены различными видами товаров в достаточной мере, д</w:t>
            </w:r>
            <w:r>
              <w:rPr>
                <w:rFonts w:ascii="Times New Roman" w:hAnsi="Times New Roman"/>
                <w:sz w:val="24"/>
              </w:rPr>
              <w:t>ефицита нет.</w:t>
            </w:r>
          </w:p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1_ch"/>
                <w:sz w:val="24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type="dxa" w:w="5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1_ch"/>
                <w:sz w:val="24"/>
              </w:rPr>
              <w:t xml:space="preserve">Разработка и утверждение сводного графика по проведению выставок (ярмарок), </w:t>
            </w:r>
            <w:r>
              <w:rPr>
                <w:rStyle w:val="Style_11_ch"/>
                <w:sz w:val="24"/>
              </w:rPr>
              <w:t xml:space="preserve">включающей мероприятия по созданию торговых новых мест, размещение графика </w:t>
            </w:r>
            <w:r>
              <w:rPr>
                <w:rFonts w:ascii="Times New Roman" w:hAnsi="Times New Roman"/>
                <w:sz w:val="24"/>
              </w:rPr>
              <w:t>на официальном сайте МО "Город Курчатов" Курской области</w:t>
            </w:r>
          </w:p>
        </w:tc>
        <w:tc>
          <w:tcPr>
            <w:tcW w:type="dxa" w:w="5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1_ch"/>
                <w:sz w:val="24"/>
              </w:rPr>
              <w:t xml:space="preserve">Проведение мониторинга с целью определения </w:t>
            </w:r>
            <w:r>
              <w:rPr>
                <w:rStyle w:val="Style_11_ch"/>
                <w:sz w:val="24"/>
              </w:rPr>
              <w:t>административных барьеров, экономических ограничений, иных факторов, являю</w:t>
            </w:r>
            <w:r>
              <w:rPr>
                <w:rStyle w:val="Style_11_ch"/>
                <w:sz w:val="24"/>
              </w:rPr>
              <w:t>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type="dxa" w:w="5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491"/>
            <w:gridSpan w:val="1"/>
            <w:vMerge w:val="continue"/>
          </w:tcPr>
          <w:p/>
        </w:tc>
        <w:tc>
          <w:tcPr>
            <w:tcW w:type="dxa" w:w="2076"/>
            <w:gridSpan w:val="1"/>
            <w:vMerge w:val="continue"/>
          </w:tcPr>
          <w:p/>
        </w:tc>
        <w:tc>
          <w:tcPr>
            <w:tcW w:type="dxa" w:w="382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631"/>
            <w:gridSpan w:val="1"/>
            <w:vMerge w:val="continue"/>
          </w:tcPr>
          <w:p/>
        </w:tc>
        <w:tc>
          <w:tcPr>
            <w:tcW w:type="dxa" w:w="5092"/>
          </w:tcPr>
          <w:p w14:paraId="9F000000">
            <w:pPr>
              <w:pStyle w:val="Style_5"/>
              <w:rPr>
                <w:sz w:val="24"/>
              </w:rPr>
            </w:pPr>
            <w:r>
              <w:rPr>
                <w:rStyle w:val="Style_11_ch"/>
                <w:sz w:val="24"/>
              </w:rPr>
              <w:t>Проведение мониторинга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type="dxa" w:w="5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A0000000">
      <w:pPr>
        <w:pStyle w:val="Style_1"/>
        <w:spacing w:before="24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Раздел II. Системные мероприятия по содействию развитию конкуренции в МО "Город Курчатов" Курской области </w:t>
      </w:r>
    </w:p>
    <w:p w14:paraId="A1000000">
      <w:pPr>
        <w:pStyle w:val="Style_1"/>
        <w:rPr>
          <w:rFonts w:ascii="Times New Roman" w:hAnsi="Times New Roman"/>
          <w:b w:val="1"/>
          <w:sz w:val="24"/>
        </w:rPr>
      </w:pPr>
    </w:p>
    <w:tbl>
      <w:tblPr>
        <w:tblStyle w:val="Style_4"/>
        <w:tblLayout w:type="fixed"/>
      </w:tblPr>
      <w:tblGrid>
        <w:gridCol w:w="516"/>
        <w:gridCol w:w="6441"/>
        <w:gridCol w:w="2871"/>
        <w:gridCol w:w="4734"/>
      </w:tblGrid>
      <w:tr>
        <w:trPr>
          <w:tblHeader/>
        </w:trPr>
        <w:tc>
          <w:tcPr>
            <w:tcW w:type="dxa" w:w="516"/>
          </w:tcPr>
          <w:p w14:paraId="A2000000">
            <w:pPr>
              <w:pStyle w:val="Style_6"/>
              <w:ind w:firstLine="0" w:left="-142" w:right="-10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6441"/>
          </w:tcPr>
          <w:p w14:paraId="A3000000">
            <w:pPr>
              <w:pStyle w:val="Style_6"/>
              <w:spacing w:line="100" w:lineRule="atLeas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Мероприятие</w:t>
            </w:r>
          </w:p>
          <w:p w14:paraId="A4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71"/>
          </w:tcPr>
          <w:p w14:paraId="A5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 мероприятия</w:t>
            </w:r>
          </w:p>
        </w:tc>
        <w:tc>
          <w:tcPr>
            <w:tcW w:type="dxa" w:w="4734"/>
          </w:tcPr>
          <w:p w14:paraId="A6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Информация о ходе реализации мероприятий</w:t>
            </w:r>
          </w:p>
        </w:tc>
      </w:tr>
      <w:tr>
        <w:tc>
          <w:tcPr>
            <w:tcW w:type="dxa" w:w="516"/>
            <w:vAlign w:val="center"/>
          </w:tcPr>
          <w:p w14:paraId="A7000000">
            <w:pPr>
              <w:pStyle w:val="Style_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4046"/>
            <w:gridSpan w:val="3"/>
            <w:vAlign w:val="center"/>
          </w:tcPr>
          <w:p w14:paraId="A8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Развитие конкурентоспособности товаров, работ, услуг субъектов </w:t>
            </w:r>
            <w:r>
              <w:rPr>
                <w:rFonts w:ascii="Times New Roman" w:hAnsi="Times New Roman"/>
                <w:b w:val="1"/>
                <w:sz w:val="24"/>
              </w:rPr>
              <w:t>малого и среднего предпринимательства</w:t>
            </w:r>
          </w:p>
        </w:tc>
      </w:tr>
      <w:tr>
        <w:tc>
          <w:tcPr>
            <w:tcW w:type="dxa" w:w="516"/>
          </w:tcPr>
          <w:p w14:paraId="A9000000">
            <w:pPr>
              <w:pStyle w:val="Style_6"/>
              <w:ind w:firstLine="0" w:left="-142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6441"/>
          </w:tcPr>
          <w:p w14:paraId="AA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Предоставление субсидий  субъектам малого и среднего предпринимательства, начинающим собственный бизнес, на возмещение затрат, связанных с организацией и ведением дела, осуществляющим деятельность по приоритетным </w:t>
            </w:r>
            <w:r>
              <w:rPr>
                <w:sz w:val="24"/>
              </w:rPr>
              <w:t>направлениям деятельности малого и среднего предпринимательства</w:t>
            </w:r>
          </w:p>
        </w:tc>
        <w:tc>
          <w:tcPr>
            <w:tcW w:type="dxa" w:w="2871"/>
            <w:vMerge w:val="restart"/>
          </w:tcPr>
          <w:p w14:paraId="AB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Повышение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type="dxa" w:w="4734"/>
            <w:vMerge w:val="restart"/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в рамках муниципальной программы "Развитие малого и среднего предпринимательст</w:t>
            </w:r>
            <w:r>
              <w:rPr>
                <w:rFonts w:ascii="Times New Roman" w:hAnsi="Times New Roman"/>
                <w:sz w:val="24"/>
              </w:rPr>
              <w:t>ва в городе Курчатове  Курской области" за счет средств городского бюджета было выделено                1500 тыс. руб.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средства предназначались на предоставление субсидии объектам малого и среднего предпринимательства </w:t>
            </w:r>
            <w:r>
              <w:rPr>
                <w:rFonts w:ascii="Times New Roman" w:hAnsi="Times New Roman"/>
                <w:sz w:val="24"/>
              </w:rPr>
              <w:t>осуществляющим деятельнос</w:t>
            </w:r>
            <w:r>
              <w:rPr>
                <w:rFonts w:ascii="Times New Roman" w:hAnsi="Times New Roman"/>
                <w:sz w:val="24"/>
              </w:rPr>
              <w:t xml:space="preserve">ть по приоритетным направлениям деятельности малого и среднего предпринимательства: 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начинающим собственный бизнес, на возмещение части затрат, связанных с организацией и ведением дела; осуществляющим деятельность в сфере  производства товаров (работ, услу</w:t>
            </w:r>
            <w:r>
              <w:rPr>
                <w:rFonts w:ascii="Times New Roman" w:hAnsi="Times New Roman"/>
                <w:sz w:val="24"/>
              </w:rPr>
              <w:t xml:space="preserve">г), на возмещение части затрат, связанных с приобретением оборудования в целях создания и (или) развития и (или) модернизации производства. 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2023 года администрация города Курчатова 6 раз объявляла  конкурс по отбору на предоставление субсидий </w:t>
            </w:r>
            <w:r>
              <w:rPr>
                <w:rFonts w:ascii="Times New Roman" w:hAnsi="Times New Roman"/>
                <w:sz w:val="24"/>
              </w:rPr>
              <w:t>субъектам малого и среднего предпринимательства.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связи с отсутствием заявок в проведенных конкурсах, субсидии в отчетном году не </w:t>
            </w:r>
            <w:r>
              <w:rPr>
                <w:rFonts w:ascii="Times New Roman" w:hAnsi="Times New Roman"/>
                <w:sz w:val="24"/>
              </w:rPr>
              <w:t>предоставлялись</w:t>
            </w:r>
            <w:r>
              <w:rPr>
                <w:rFonts w:ascii="Times New Roman" w:hAnsi="Times New Roman"/>
                <w:sz w:val="24"/>
              </w:rPr>
              <w:t xml:space="preserve"> и денежные средства были направлены на иные цели.</w:t>
            </w:r>
          </w:p>
        </w:tc>
      </w:tr>
      <w:tr>
        <w:tc>
          <w:tcPr>
            <w:tcW w:type="dxa" w:w="516"/>
          </w:tcPr>
          <w:p w14:paraId="B1000000">
            <w:pPr>
              <w:pStyle w:val="Style_6"/>
              <w:ind w:firstLine="0" w:left="-142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6441"/>
          </w:tcPr>
          <w:p w14:paraId="B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Предоставление субсидий субъектам малого среднего предпринимательства на возмещение части затрат, связанных с сертификацией, патентованием, </w:t>
            </w:r>
            <w:r>
              <w:rPr>
                <w:sz w:val="24"/>
              </w:rPr>
              <w:t xml:space="preserve">государственной регистрацией результатов интеллектуальной деятельности, осуществляющим деятельность по приоритетным </w:t>
            </w:r>
            <w:r>
              <w:rPr>
                <w:sz w:val="24"/>
              </w:rPr>
              <w:t>направлениям деятельности малого и среднего предпринимательства.</w:t>
            </w:r>
          </w:p>
        </w:tc>
        <w:tc>
          <w:tcPr>
            <w:tcW w:type="dxa" w:w="2871"/>
            <w:gridSpan w:val="1"/>
            <w:vMerge w:val="continue"/>
          </w:tcPr>
          <w:p/>
        </w:tc>
        <w:tc>
          <w:tcPr>
            <w:tcW w:type="dxa" w:w="4734"/>
            <w:gridSpan w:val="1"/>
            <w:vMerge w:val="continue"/>
          </w:tcPr>
          <w:p/>
        </w:tc>
      </w:tr>
      <w:tr>
        <w:tc>
          <w:tcPr>
            <w:tcW w:type="dxa" w:w="516"/>
          </w:tcPr>
          <w:p w14:paraId="B3000000">
            <w:pPr>
              <w:pStyle w:val="Style_6"/>
              <w:ind w:firstLine="0" w:left="-142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6441"/>
          </w:tcPr>
          <w:p w14:paraId="B4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</w:t>
            </w:r>
            <w:r>
              <w:rPr>
                <w:sz w:val="24"/>
              </w:rPr>
              <w:t>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type="dxa" w:w="2871"/>
            <w:gridSpan w:val="1"/>
            <w:vMerge w:val="continue"/>
          </w:tcPr>
          <w:p/>
        </w:tc>
        <w:tc>
          <w:tcPr>
            <w:tcW w:type="dxa" w:w="4734"/>
            <w:gridSpan w:val="1"/>
            <w:vMerge w:val="continue"/>
          </w:tcPr>
          <w:p/>
        </w:tc>
      </w:tr>
      <w:tr>
        <w:tc>
          <w:tcPr>
            <w:tcW w:type="dxa" w:w="516"/>
            <w:vAlign w:val="center"/>
          </w:tcPr>
          <w:p w14:paraId="B5000000">
            <w:pPr>
              <w:pStyle w:val="Style_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4046"/>
            <w:gridSpan w:val="3"/>
            <w:vAlign w:val="center"/>
          </w:tcPr>
          <w:p w14:paraId="B6000000">
            <w:pPr>
              <w:pStyle w:val="Style_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>
        <w:tc>
          <w:tcPr>
            <w:tcW w:type="dxa" w:w="516"/>
          </w:tcPr>
          <w:p w14:paraId="B7000000">
            <w:pPr>
              <w:pStyle w:val="Style_6"/>
              <w:ind w:firstLine="0" w:left="-142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14046"/>
            <w:gridSpan w:val="3"/>
          </w:tcPr>
          <w:p w14:paraId="B8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случаев (снижение количества) осуществления закупки у единственн</w:t>
            </w:r>
            <w:r>
              <w:rPr>
                <w:rFonts w:ascii="Times New Roman" w:hAnsi="Times New Roman"/>
                <w:sz w:val="24"/>
              </w:rPr>
              <w:t>ого поставщика</w:t>
            </w:r>
          </w:p>
        </w:tc>
      </w:tr>
      <w:tr>
        <w:tc>
          <w:tcPr>
            <w:tcW w:type="dxa" w:w="516"/>
          </w:tcPr>
          <w:p w14:paraId="B900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type="dxa" w:w="6441"/>
          </w:tcPr>
          <w:p w14:paraId="B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 конкурентных процедур (конкурсов, аукционов, запросов котировок) при осуществлении муниципальных закупок</w:t>
            </w:r>
          </w:p>
          <w:p w14:paraId="BB000000">
            <w:pPr>
              <w:pStyle w:val="Style_5"/>
              <w:ind/>
              <w:jc w:val="center"/>
              <w:rPr>
                <w:sz w:val="24"/>
              </w:rPr>
            </w:pPr>
          </w:p>
          <w:p w14:paraId="BC000000">
            <w:pPr>
              <w:pStyle w:val="Style_5"/>
              <w:ind/>
              <w:jc w:val="center"/>
              <w:rPr>
                <w:sz w:val="24"/>
              </w:rPr>
            </w:pPr>
          </w:p>
        </w:tc>
        <w:tc>
          <w:tcPr>
            <w:tcW w:type="dxa" w:w="2871"/>
          </w:tcPr>
          <w:p w14:paraId="BD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Обеспечение прозрачности и доступности закупок товаров, работ, услуг</w:t>
            </w:r>
          </w:p>
          <w:p w14:paraId="BE000000">
            <w:pPr>
              <w:pStyle w:val="Style_5"/>
              <w:rPr>
                <w:sz w:val="24"/>
              </w:rPr>
            </w:pPr>
          </w:p>
        </w:tc>
        <w:tc>
          <w:tcPr>
            <w:tcW w:type="dxa" w:w="4734"/>
          </w:tcPr>
          <w:p w14:paraId="BF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конкурентных процедур </w:t>
            </w:r>
            <w:r>
              <w:rPr>
                <w:rFonts w:ascii="Times New Roman" w:hAnsi="Times New Roman"/>
                <w:sz w:val="24"/>
              </w:rPr>
              <w:t xml:space="preserve">(конкурсов, аукционов, запросов котировок) при осуществлении муниципальных закупок, осуществляется в соответствии с </w:t>
            </w:r>
            <w:r>
              <w:rPr>
                <w:rFonts w:ascii="Times New Roman" w:hAnsi="Times New Roman"/>
                <w:sz w:val="24"/>
                <w:highlight w:val="white"/>
              </w:rPr>
              <w:t>Федеральным законом от 5 апреля 2013 года № 44-ФЗ "О контрактной системе в сфере закупок товаров, работ, услуг для обеспечения государственн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ых и муниципальных нужд", что обеспечивает </w:t>
            </w:r>
            <w:r>
              <w:rPr>
                <w:rFonts w:ascii="Times New Roman" w:hAnsi="Times New Roman"/>
                <w:sz w:val="24"/>
                <w:highlight w:val="white"/>
              </w:rPr>
              <w:t>исполнение принципов</w:t>
            </w:r>
            <w:r>
              <w:rPr>
                <w:rFonts w:ascii="Times New Roman" w:hAnsi="Times New Roman"/>
                <w:sz w:val="24"/>
              </w:rPr>
              <w:t xml:space="preserve"> открытости и прозрачности.</w:t>
            </w:r>
          </w:p>
        </w:tc>
      </w:tr>
      <w:tr>
        <w:tc>
          <w:tcPr>
            <w:tcW w:type="dxa" w:w="516"/>
          </w:tcPr>
          <w:p w14:paraId="C000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6441"/>
          </w:tcPr>
          <w:p w14:paraId="C1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Анализ допускаемых заказчиками нарушений при осуществлении муниципальных закупок с использованием конкурентных способов определения поставщиков (подрядчиков, </w:t>
            </w:r>
            <w:r>
              <w:rPr>
                <w:sz w:val="24"/>
              </w:rPr>
              <w:t>исполнителей) по результатам проведенных контрольных мероприятий</w:t>
            </w:r>
          </w:p>
        </w:tc>
        <w:tc>
          <w:tcPr>
            <w:tcW w:type="dxa" w:w="2871"/>
          </w:tcPr>
          <w:p w14:paraId="C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Снижение количества нарушений при проведении закупок для муниципальных нужд</w:t>
            </w:r>
          </w:p>
        </w:tc>
        <w:tc>
          <w:tcPr>
            <w:tcW w:type="dxa" w:w="4734"/>
            <w:shd w:fill="auto" w:val="clear"/>
          </w:tcPr>
          <w:p w14:paraId="C3000000">
            <w:pPr>
              <w:tabs>
                <w:tab w:leader="none" w:pos="421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 xml:space="preserve"> ходе осуществления полномочий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по внутреннему муниципальному финансовому контролю в сфере закупок </w:t>
            </w:r>
            <w:r>
              <w:rPr>
                <w:rFonts w:ascii="Times New Roman" w:hAnsi="Times New Roman"/>
                <w:sz w:val="24"/>
              </w:rPr>
              <w:t>Комитетом внутре</w:t>
            </w:r>
            <w:r>
              <w:rPr>
                <w:rFonts w:ascii="Times New Roman" w:hAnsi="Times New Roman"/>
                <w:sz w:val="24"/>
              </w:rPr>
              <w:t>ннего финансового контроля администрации города Курчатова в 2023 году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была осуществлена проверка 87 закупок, в том числе в рамках реализации национального проекта "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Жилье и городская среда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.</w:t>
            </w:r>
          </w:p>
          <w:p w14:paraId="C4000000">
            <w:pPr>
              <w:tabs>
                <w:tab w:leader="none" w:pos="421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Выявлены следующие нарушения: </w:t>
            </w:r>
          </w:p>
          <w:p w14:paraId="C5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 xml:space="preserve">- нарушение порядка определения и 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обоснования начальной (максимальной) цены контракта;</w:t>
            </w:r>
          </w:p>
          <w:p w14:paraId="C6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Style w:val="Style_12_ch"/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 xml:space="preserve">-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нужд; </w:t>
            </w:r>
          </w:p>
          <w:p w14:paraId="C7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- несоблюдение требования о применен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ии мер ответственности в случае нарушения поставщиком (подрядчиком, исполнителем) условий контракта;</w:t>
            </w:r>
          </w:p>
          <w:p w14:paraId="C8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Style w:val="Style_12_ch"/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- приемка поставленного товара, выполненной работы (ее результатов), оказанной услуги или отдельного этапа исполнения контракта в случае несоответствия эти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 xml:space="preserve">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уменьшению количества поставляемых 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товаров (объема выполняемых работ;</w:t>
            </w:r>
          </w:p>
          <w:p w14:paraId="C9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Style w:val="Style_12_ch"/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</w:rPr>
              <w:t xml:space="preserve">- 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 xml:space="preserve">указан 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некорректный метод определения НМЦК</w:t>
            </w:r>
            <w:r>
              <w:rPr>
                <w:rStyle w:val="Style_12_ch"/>
                <w:rFonts w:ascii="Times New Roman" w:hAnsi="Times New Roman"/>
                <w:sz w:val="24"/>
              </w:rPr>
              <w:t>.</w:t>
            </w:r>
          </w:p>
          <w:p w14:paraId="CA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</w:rPr>
              <w:t>В ходе осуществления ведомственного контроля в сфере закупок было проверено 25 закупок.</w:t>
            </w:r>
            <w:r>
              <w:rPr>
                <w:rFonts w:ascii="Times New Roman" w:hAnsi="Times New Roman"/>
                <w:sz w:val="24"/>
              </w:rPr>
              <w:t xml:space="preserve"> Также в 2023 году были проведены 2 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выездные плановые проверки</w:t>
            </w:r>
            <w:r>
              <w:rPr>
                <w:rFonts w:ascii="Times New Roman" w:hAnsi="Times New Roman"/>
                <w:sz w:val="24"/>
              </w:rPr>
              <w:t xml:space="preserve"> в отношении 220 закупок. Выявлены следующие нарушения:</w:t>
            </w:r>
          </w:p>
          <w:p w14:paraId="CB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- нарушение пу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нкта 4 части 1 статьи 93 Закона № 44-ФЗ - осуществлены закупки, превышающие ограничение, установленное пунктом 4 части 1 статьи 93 Закона № 44-ФЗ4;</w:t>
            </w:r>
          </w:p>
          <w:p w14:paraId="CC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- нарушение пункта 5 части 1 статьи 93 Закона № 44-ФЗ - необоснованно осуществлены закупки;</w:t>
            </w:r>
          </w:p>
          <w:p w14:paraId="CD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- нарушения част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и 3 статьи 103 Закона № 44-ФЗ - несвоевременное направление информации в Федеральное казначейство;</w:t>
            </w:r>
          </w:p>
          <w:p w14:paraId="CE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- нарушение  части 1 статьи 23 Закона № 44-ФЗ в 139 контрактах (договорах) заключенных в соответствии с  пунктом 4 части 1 статьи 93 Закона № 44-ФЗ - не указ</w:t>
            </w: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ан идентификационный код закупки;</w:t>
            </w:r>
          </w:p>
          <w:p w14:paraId="CF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-  нарушение  пункта 2 части 13.1 статьи 34 Закона № 44-ФЗ;</w:t>
            </w:r>
          </w:p>
          <w:p w14:paraId="D0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Style w:val="Style_12_ch"/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 xml:space="preserve">- нарушение части 1 статьи 16 Закона № 44-ФЗ; </w:t>
            </w:r>
          </w:p>
          <w:p w14:paraId="D1000000">
            <w:pPr>
              <w:tabs>
                <w:tab w:leader="none" w:pos="1134" w:val="left"/>
              </w:tabs>
              <w:spacing w:line="240" w:lineRule="auto"/>
              <w:ind w:firstLine="0" w:left="-76" w:right="-8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2_ch"/>
                <w:rFonts w:ascii="Times New Roman" w:hAnsi="Times New Roman"/>
                <w:sz w:val="24"/>
                <w:highlight w:val="white"/>
              </w:rPr>
              <w:t>- нарушение части 1 статьи 51 Закона № 44-ФЗ.</w:t>
            </w:r>
          </w:p>
        </w:tc>
      </w:tr>
      <w:tr>
        <w:tc>
          <w:tcPr>
            <w:tcW w:type="dxa" w:w="516"/>
          </w:tcPr>
          <w:p w14:paraId="D2000000">
            <w:pPr>
              <w:pStyle w:val="Style_6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46"/>
            <w:gridSpan w:val="3"/>
          </w:tcPr>
          <w:p w14:paraId="D3000000">
            <w:pPr>
              <w:pStyle w:val="Style_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>
        <w:tc>
          <w:tcPr>
            <w:tcW w:type="dxa" w:w="516"/>
          </w:tcPr>
          <w:p w14:paraId="D400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type="dxa" w:w="6441"/>
          </w:tcPr>
          <w:p w14:paraId="D5000000">
            <w:pPr>
              <w:pStyle w:val="Style_5"/>
              <w:ind w:firstLine="73" w:left="-108" w:right="-108"/>
              <w:rPr>
                <w:sz w:val="24"/>
              </w:rPr>
            </w:pPr>
            <w:r>
              <w:rPr>
                <w:sz w:val="24"/>
              </w:rPr>
              <w:t>Осуществление закупок бюджетными, казенным</w:t>
            </w:r>
            <w:r>
              <w:rPr>
                <w:sz w:val="24"/>
              </w:rPr>
              <w:t xml:space="preserve">и, </w:t>
            </w:r>
            <w:r>
              <w:rPr>
                <w:sz w:val="24"/>
              </w:rPr>
              <w:t>автономными учреждениями и хозяйствующими субъектами, доля муниципального образования в которых составляет более 50 процентов, в соответствии с Федеральным законом от 18 июля 2011 года №223-ФЗ "О закупках товаров, работ, услуг отдельными видами юридичес</w:t>
            </w:r>
            <w:r>
              <w:rPr>
                <w:sz w:val="24"/>
              </w:rPr>
              <w:t>ких лиц" у субъектов малого и среднего предпринимательства по результатам конкурентных процедур</w:t>
            </w:r>
          </w:p>
        </w:tc>
        <w:tc>
          <w:tcPr>
            <w:tcW w:type="dxa" w:w="2871"/>
          </w:tcPr>
          <w:p w14:paraId="D6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Развитие добросовестной </w:t>
            </w:r>
            <w:r>
              <w:rPr>
                <w:sz w:val="24"/>
              </w:rPr>
              <w:t>конкуренции, обеспечение гласности и прозрачности закупки / предотвращение коррупции и других злоупотреблений</w:t>
            </w:r>
          </w:p>
          <w:p w14:paraId="D7000000">
            <w:pPr>
              <w:pStyle w:val="Style_5"/>
              <w:rPr>
                <w:sz w:val="24"/>
              </w:rPr>
            </w:pPr>
          </w:p>
          <w:p w14:paraId="D8000000">
            <w:pPr>
              <w:pStyle w:val="Style_5"/>
              <w:rPr>
                <w:sz w:val="24"/>
              </w:rPr>
            </w:pPr>
          </w:p>
        </w:tc>
        <w:tc>
          <w:tcPr>
            <w:tcW w:type="dxa" w:w="4734"/>
            <w:shd w:fill="auto" w:val="clear"/>
          </w:tcPr>
          <w:p w14:paraId="D9000000">
            <w:pPr>
              <w:pStyle w:val="Style_5"/>
              <w:ind w:firstLine="33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В 2023 году муниципальны</w:t>
            </w:r>
            <w:r>
              <w:rPr>
                <w:sz w:val="24"/>
              </w:rPr>
              <w:t xml:space="preserve">е заказчики МО </w:t>
            </w:r>
            <w:r>
              <w:rPr>
                <w:sz w:val="24"/>
              </w:rPr>
              <w:t>"Город Курчатов", осуществляющие закупочную деятельность в соответствии с Федеральным законом от 18 июля 2011 года          № 223-ФЗ "О закупках товаров, работ, услуг отдельными видами юридических лиц", осуществляли закупки для субъектов мал</w:t>
            </w:r>
            <w:r>
              <w:rPr>
                <w:sz w:val="24"/>
              </w:rPr>
              <w:t>ого предпринимательства в соответствии с постановлением Правительства РФ от 11.12.2014 №1352 "Об особенностях участия субъектов малого и среднего предпринимательства в закупках товаров, работ, услуг отдельными</w:t>
            </w:r>
            <w:r>
              <w:rPr>
                <w:sz w:val="24"/>
              </w:rPr>
              <w:t xml:space="preserve"> видами юридических лиц" и утвержденными положе</w:t>
            </w:r>
            <w:r>
              <w:rPr>
                <w:sz w:val="24"/>
              </w:rPr>
              <w:t xml:space="preserve">ниями о закупках, в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 xml:space="preserve"> с чем расширяется участие в муниципальных закупках субъектов малого и среднего предпринимательства и развивается добросовестная конкуренция, обеспечение гласности и прозрачности закупок, предотвращение коррупции и других злоупотре</w:t>
            </w:r>
            <w:r>
              <w:rPr>
                <w:sz w:val="24"/>
              </w:rPr>
              <w:t>блений.</w:t>
            </w:r>
          </w:p>
        </w:tc>
      </w:tr>
      <w:tr>
        <w:trPr>
          <w:trHeight w:hRule="atLeast" w:val="1415"/>
        </w:trPr>
        <w:tc>
          <w:tcPr>
            <w:tcW w:type="dxa" w:w="516"/>
          </w:tcPr>
          <w:p w14:paraId="DA00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type="dxa" w:w="6441"/>
          </w:tcPr>
          <w:p w14:paraId="DB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Проведение обучающих семинаров для  субъектов малого и среднего предпринимательства   по проведению закупок  на электронных торговых площадках</w:t>
            </w:r>
          </w:p>
        </w:tc>
        <w:tc>
          <w:tcPr>
            <w:tcW w:type="dxa" w:w="2871"/>
          </w:tcPr>
          <w:p w14:paraId="DC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type="dxa" w:w="4734"/>
            <w:shd w:fill="auto" w:val="clea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Субъекты МСП города Курчатова проходят </w:t>
            </w:r>
            <w:r>
              <w:rPr>
                <w:rFonts w:ascii="Times New Roman" w:hAnsi="Times New Roman"/>
                <w:sz w:val="24"/>
              </w:rPr>
              <w:t>обучение по закупкам</w:t>
            </w:r>
            <w:r>
              <w:rPr>
                <w:rFonts w:ascii="Times New Roman" w:hAnsi="Times New Roman"/>
                <w:sz w:val="24"/>
              </w:rPr>
              <w:t xml:space="preserve"> 223-ФЗ на платформе центра поддержки малых и средних предприятий, созданным Корпорацией МСП. </w:t>
            </w:r>
          </w:p>
        </w:tc>
      </w:tr>
      <w:tr>
        <w:trPr>
          <w:trHeight w:hRule="atLeast" w:val="368"/>
        </w:trPr>
        <w:tc>
          <w:tcPr>
            <w:tcW w:type="dxa" w:w="516"/>
          </w:tcPr>
          <w:p w14:paraId="DE00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14046"/>
            <w:gridSpan w:val="3"/>
            <w:vAlign w:val="center"/>
          </w:tcPr>
          <w:p w14:paraId="DF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E0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6441"/>
          </w:tcPr>
          <w:p w14:paraId="E1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type="dxa" w:w="2871"/>
          </w:tcPr>
          <w:p w14:paraId="E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Устранение избыточного муниципального регулирования/снижение административных </w:t>
            </w:r>
            <w:r>
              <w:rPr>
                <w:sz w:val="24"/>
              </w:rPr>
              <w:t>барьеров</w:t>
            </w:r>
          </w:p>
        </w:tc>
        <w:tc>
          <w:tcPr>
            <w:tcW w:type="dxa" w:w="4734"/>
          </w:tcPr>
          <w:p w14:paraId="E3000000">
            <w:pPr>
              <w:spacing w:after="0" w:line="240" w:lineRule="auto"/>
              <w:ind w:right="29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 году при предоставлении государственных или муниципальных услуг не принимались акты, ограничивающие конкуренцию. Также не заключались ограничивающие </w:t>
            </w:r>
            <w:r>
              <w:rPr>
                <w:rFonts w:ascii="Times New Roman" w:hAnsi="Times New Roman"/>
                <w:sz w:val="24"/>
              </w:rPr>
              <w:t xml:space="preserve">конкуренцию соглашения.  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E4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14046"/>
            <w:gridSpan w:val="3"/>
          </w:tcPr>
          <w:p w14:paraId="E5000000">
            <w:pPr>
              <w:spacing w:after="0" w:line="240" w:lineRule="auto"/>
              <w:ind w:right="-31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порядках проведения оценки регулирующего воздействия проектов нормативных правовых актов МО "Города Курчатов" и экспертизы нормативных правовых актов МО "Города Курчатов", устанавливаемых в соответствии с федеральным законом "Об общих принципах о</w:t>
            </w:r>
            <w:r>
              <w:rPr>
                <w:rFonts w:ascii="Times New Roman" w:hAnsi="Times New Roman"/>
                <w:sz w:val="24"/>
              </w:rPr>
              <w:t>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E600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type="dxa" w:w="6441"/>
          </w:tcPr>
          <w:p w14:paraId="E7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Пров</w:t>
            </w:r>
            <w:r>
              <w:rPr>
                <w:sz w:val="24"/>
              </w:rPr>
              <w:t>едение оценки регулирующего воздействия проектов нормативных правовых актов МО "Города Курчатов", и фактического воздействия нормативных правовых актов на состояние конкуренции</w:t>
            </w:r>
          </w:p>
        </w:tc>
        <w:tc>
          <w:tcPr>
            <w:tcW w:type="dxa" w:w="2871"/>
          </w:tcPr>
          <w:p w14:paraId="E8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Устранение избыточного государственного и муниципального регулирования/снижение</w:t>
            </w:r>
            <w:r>
              <w:rPr>
                <w:sz w:val="24"/>
              </w:rPr>
              <w:t xml:space="preserve"> административных барьеров</w:t>
            </w:r>
          </w:p>
        </w:tc>
        <w:tc>
          <w:tcPr>
            <w:tcW w:type="dxa" w:w="4734"/>
          </w:tcPr>
          <w:p w14:paraId="E9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была проведена оценка регулирующего воздействия 7 проектов нормативных правовых актов МО "Города Курчатов":</w:t>
            </w: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Проект решения Курчатовской городской Думы «О внесении изменений  в Правила благоустройства территории  </w:t>
            </w: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 xml:space="preserve">  «Город Курчатов» Курской области, утвержденные решением  Курчатовской городской Думы от 31.10.2017 №37».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 постановления администрации города Курчатова Курской области «Об утверждении Порядка предоставления мест для  размеще</w:t>
            </w:r>
            <w:r>
              <w:rPr>
                <w:rFonts w:ascii="Times New Roman" w:hAnsi="Times New Roman"/>
                <w:sz w:val="24"/>
              </w:rPr>
              <w:t xml:space="preserve">ния   пунктов проката средств индивидуальной мобильности на территории </w:t>
            </w: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 xml:space="preserve"> «Город Курчатов» Курской области». 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 постановления администрации города Курчатова Курской области «Об утверждении Порядка  предоставления мест для ра</w:t>
            </w:r>
            <w:r>
              <w:rPr>
                <w:rFonts w:ascii="Times New Roman" w:hAnsi="Times New Roman"/>
                <w:sz w:val="24"/>
              </w:rPr>
              <w:t xml:space="preserve">змещения нестационарных объектов оказания бытовых услуг на территории </w:t>
            </w: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 xml:space="preserve"> «Город Курчатов» Курской области». </w:t>
            </w:r>
          </w:p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Проект нормативного правового акта «О </w:t>
            </w:r>
            <w:r>
              <w:rPr>
                <w:rFonts w:ascii="Times New Roman" w:hAnsi="Times New Roman"/>
                <w:sz w:val="24"/>
              </w:rPr>
              <w:t>внесении изменений  в решение Курчатовской городской Думы от 21.12.2021 №64 «Об утв</w:t>
            </w:r>
            <w:r>
              <w:rPr>
                <w:rFonts w:ascii="Times New Roman" w:hAnsi="Times New Roman"/>
                <w:sz w:val="24"/>
              </w:rPr>
              <w:t xml:space="preserve">ерждении Положения о муниципальном жилищном контроле  на территории </w:t>
            </w: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 xml:space="preserve"> «Город Курчатов» Курской области». 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 нормативного правового акта «О внесении изменений  в решение Курчатовской городской Думы от 21.12.2021 №64 «Об утве</w:t>
            </w:r>
            <w:r>
              <w:rPr>
                <w:rFonts w:ascii="Times New Roman" w:hAnsi="Times New Roman"/>
                <w:sz w:val="24"/>
              </w:rPr>
              <w:t xml:space="preserve">рждении Положения о муниципальном жилищном контроле  на территории </w:t>
            </w: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 xml:space="preserve"> «Город Курчатов» Курской области». </w:t>
            </w:r>
          </w:p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 решения  Курчатовской городской Думы  «О внесении изменений  в решение Курчатовской городской Думы от 21.12.2021 №63</w:t>
            </w:r>
            <w:r>
              <w:rPr>
                <w:rFonts w:ascii="Times New Roman" w:hAnsi="Times New Roman"/>
                <w:sz w:val="24"/>
              </w:rPr>
              <w:t xml:space="preserve"> «Об утверждении Положения о муниципальном  контроле  на автомобильном транспорте, городском наземном электрическом транспорте и в дорожном хозяйстве  в границах  </w:t>
            </w: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«Г</w:t>
            </w:r>
            <w:r>
              <w:rPr>
                <w:rFonts w:ascii="Times New Roman" w:hAnsi="Times New Roman"/>
                <w:sz w:val="24"/>
              </w:rPr>
              <w:t>ород Курчатов» Курской области»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Проект решения  Курчатовской городской Думы  «О внесении изменений  в решение Курчатовской городской Думы от 21.12.2021 №65 «Об утверждении Положения о муниципальном  контроле  в сфере</w:t>
            </w:r>
            <w:r>
              <w:rPr>
                <w:rFonts w:ascii="Times New Roman" w:hAnsi="Times New Roman"/>
                <w:sz w:val="24"/>
              </w:rPr>
              <w:t xml:space="preserve"> благоустройства территории МО </w:t>
            </w:r>
            <w:r>
              <w:rPr>
                <w:rFonts w:ascii="Times New Roman" w:hAnsi="Times New Roman"/>
                <w:sz w:val="24"/>
              </w:rPr>
              <w:t xml:space="preserve">  «Город Ку</w:t>
            </w:r>
            <w:r>
              <w:rPr>
                <w:rFonts w:ascii="Times New Roman" w:hAnsi="Times New Roman"/>
                <w:sz w:val="24"/>
              </w:rPr>
              <w:t xml:space="preserve">рчатов» Курской области». 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Проведение</w:t>
            </w:r>
            <w:r>
              <w:rPr>
                <w:rFonts w:ascii="Times New Roman" w:hAnsi="Times New Roman"/>
                <w:sz w:val="24"/>
              </w:rPr>
              <w:t xml:space="preserve"> оценки регулирующего воздействия проектов нормативных правовых актов </w:t>
            </w:r>
            <w:r>
              <w:rPr>
                <w:rFonts w:ascii="Times New Roman" w:hAnsi="Times New Roman"/>
                <w:sz w:val="24"/>
                <w:highlight w:val="white"/>
              </w:rPr>
              <w:t>дало возможность участвовать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в публичных консультациях  субъектам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предпринимательства города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F200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4046"/>
            <w:gridSpan w:val="3"/>
            <w:vAlign w:val="center"/>
          </w:tcPr>
          <w:p w14:paraId="F3000000">
            <w:pPr>
              <w:pStyle w:val="Style_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Совершенствование процессов управления в рамках полномочи</w:t>
            </w:r>
            <w:r>
              <w:rPr>
                <w:b w:val="1"/>
                <w:sz w:val="24"/>
              </w:rPr>
              <w:t>й органа местного самоуправления, закрепленного за ним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14:paraId="F4000000">
            <w:pPr>
              <w:pStyle w:val="Style_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 разработку, утверждение и выполнение к</w:t>
            </w:r>
            <w:r>
              <w:rPr>
                <w:b w:val="1"/>
                <w:sz w:val="24"/>
              </w:rPr>
              <w:t xml:space="preserve">омплексного плана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</w:t>
            </w:r>
            <w:r>
              <w:rPr>
                <w:b w:val="1"/>
                <w:sz w:val="24"/>
              </w:rPr>
              <w:t>содержатся</w:t>
            </w:r>
            <w:r>
              <w:rPr>
                <w:b w:val="1"/>
                <w:sz w:val="24"/>
              </w:rPr>
              <w:t xml:space="preserve"> в том числе ключевые показатели эффективности деятельности;</w:t>
            </w:r>
          </w:p>
          <w:p w14:paraId="F5000000">
            <w:pPr>
              <w:pStyle w:val="Style_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</w:t>
            </w:r>
            <w:r>
              <w:rPr>
                <w:b w:val="1"/>
                <w:sz w:val="24"/>
              </w:rPr>
              <w:t xml:space="preserve">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>
        <w:trPr>
          <w:trHeight w:hRule="atLeast" w:val="351"/>
        </w:trPr>
        <w:tc>
          <w:tcPr>
            <w:tcW w:type="dxa" w:w="516"/>
          </w:tcPr>
          <w:p w14:paraId="F600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type="dxa" w:w="6441"/>
          </w:tcPr>
          <w:p w14:paraId="F7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Создание открытого реестра муниципальных</w:t>
            </w:r>
            <w:r>
              <w:rPr>
                <w:sz w:val="24"/>
              </w:rPr>
              <w:t xml:space="preserve"> предприятий и учреждений, акционерных обществ с долей участия МО "Город Курчатов" Курской области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type="dxa" w:w="2871"/>
          </w:tcPr>
          <w:p w14:paraId="F8000000">
            <w:pPr>
              <w:pStyle w:val="Style_5"/>
              <w:rPr>
                <w:sz w:val="24"/>
                <w:highlight w:val="cyan"/>
              </w:rPr>
            </w:pPr>
            <w:r>
              <w:rPr>
                <w:sz w:val="24"/>
              </w:rPr>
              <w:t xml:space="preserve">Публичное </w:t>
            </w:r>
            <w:r>
              <w:rPr>
                <w:sz w:val="24"/>
              </w:rPr>
              <w:t>размещение информации в сети "Интернет"</w:t>
            </w:r>
          </w:p>
        </w:tc>
        <w:tc>
          <w:tcPr>
            <w:tcW w:type="dxa" w:w="4734"/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состоянию на 31.12.2023г. н</w:t>
            </w:r>
            <w:r>
              <w:rPr>
                <w:rFonts w:ascii="Times New Roman" w:hAnsi="Times New Roman"/>
                <w:sz w:val="24"/>
              </w:rPr>
              <w:t xml:space="preserve">а территории МО "Город Курчатов" осуществляют деятельность 4 предприятия, доля участия муниципального образования в которых составляет более 50 процентов: МУП "Городские тепловые сети", МУП "Ритуальные услуги", МКП </w:t>
            </w:r>
            <w:r>
              <w:rPr>
                <w:rFonts w:ascii="Times New Roman" w:hAnsi="Times New Roman"/>
                <w:sz w:val="24"/>
              </w:rPr>
              <w:t>"Благоустройство", МУП ТК "Курчатов".  Реестр хозяйствующих субъектов, доля участия муни</w:t>
            </w:r>
            <w:r>
              <w:rPr>
                <w:rFonts w:ascii="Times New Roman" w:hAnsi="Times New Roman"/>
                <w:sz w:val="24"/>
              </w:rPr>
              <w:t xml:space="preserve">ципального образования в которых составляет 50 и более процентов 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"Город Курчатов" Курской области, размещен на</w:t>
            </w:r>
            <w:r>
              <w:rPr>
                <w:rFonts w:ascii="Times New Roman" w:hAnsi="Times New Roman"/>
                <w:sz w:val="24"/>
              </w:rPr>
              <w:t xml:space="preserve"> официальном</w:t>
            </w:r>
            <w:r>
              <w:rPr>
                <w:rFonts w:ascii="Times New Roman" w:hAnsi="Times New Roman"/>
                <w:sz w:val="24"/>
              </w:rPr>
              <w:t xml:space="preserve"> сайте МО "Город Курчатов"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Одно </w:t>
            </w:r>
            <w:r>
              <w:rPr>
                <w:rFonts w:ascii="Times New Roman" w:hAnsi="Times New Roman"/>
                <w:sz w:val="24"/>
              </w:rPr>
              <w:t>Муниципальное унитарное пр</w:t>
            </w:r>
            <w:r>
              <w:rPr>
                <w:rFonts w:ascii="Times New Roman" w:hAnsi="Times New Roman"/>
                <w:sz w:val="24"/>
              </w:rPr>
              <w:t xml:space="preserve">едприятие "Ритм" было ликвидировано  </w:t>
            </w:r>
            <w:r>
              <w:rPr>
                <w:rFonts w:ascii="Times New Roman" w:hAnsi="Times New Roman"/>
                <w:sz w:val="24"/>
                <w:highlight w:val="white"/>
              </w:rPr>
              <w:t>20.07.2023г.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https://kurchatov.gosuslugi.ru/ofitsialno/ekonomika/standart-razvitiya-konkurentsii/dokumenty-omsu_1534.html</w:t>
            </w:r>
          </w:p>
        </w:tc>
      </w:tr>
      <w:tr>
        <w:trPr>
          <w:trHeight w:hRule="atLeast" w:val="905"/>
        </w:trPr>
        <w:tc>
          <w:tcPr>
            <w:tcW w:type="dxa" w:w="516"/>
          </w:tcPr>
          <w:p w14:paraId="FD00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6441"/>
          </w:tcPr>
          <w:p w14:paraId="FE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Обеспечение приватизации в соответствии с нормами, установленными законодательством о </w:t>
            </w:r>
            <w:r>
              <w:rPr>
                <w:sz w:val="24"/>
              </w:rPr>
              <w:t xml:space="preserve">приватизации, имущества, находящегося в МО "Город Курчатов" Курской </w:t>
            </w:r>
            <w:r>
              <w:rPr>
                <w:sz w:val="24"/>
              </w:rPr>
              <w:t>области</w:t>
            </w:r>
          </w:p>
        </w:tc>
        <w:tc>
          <w:tcPr>
            <w:tcW w:type="dxa" w:w="2871"/>
          </w:tcPr>
          <w:p w14:paraId="FF000000">
            <w:pPr>
              <w:pStyle w:val="Style_5"/>
              <w:ind w:right="-40"/>
              <w:rPr>
                <w:sz w:val="24"/>
              </w:rPr>
            </w:pPr>
            <w:r>
              <w:rPr>
                <w:sz w:val="24"/>
              </w:rPr>
              <w:t>Реализация имущества на открытых торгах</w:t>
            </w:r>
          </w:p>
        </w:tc>
        <w:tc>
          <w:tcPr>
            <w:tcW w:type="dxa" w:w="4734"/>
            <w:vMerge w:val="restart"/>
          </w:tcPr>
          <w:p w14:paraId="00010000">
            <w:pPr>
              <w:pStyle w:val="Style_13"/>
              <w:tabs>
                <w:tab w:leader="none" w:pos="993" w:val="left"/>
              </w:tabs>
              <w:ind w:right="-31"/>
              <w:jc w:val="both"/>
              <w:outlineLvl w:val="2"/>
              <w:rPr>
                <w:rFonts w:asciiTheme="minorAscii" w:hAnsiTheme="minorHAnsi"/>
                <w:b w:val="0"/>
                <w:sz w:val="24"/>
              </w:rPr>
            </w:pPr>
            <w:r>
              <w:rPr>
                <w:rFonts w:asciiTheme="minorAscii" w:hAnsiTheme="minorHAnsi"/>
                <w:b w:val="0"/>
                <w:sz w:val="24"/>
              </w:rPr>
              <w:t xml:space="preserve">Прогнозный план (программа) приватизации муниципального имущества муниципального образования "Город </w:t>
            </w:r>
            <w:r>
              <w:rPr>
                <w:rFonts w:asciiTheme="minorAscii" w:hAnsiTheme="minorHAnsi"/>
                <w:b w:val="0"/>
                <w:sz w:val="24"/>
              </w:rPr>
              <w:t>Курчатов" Курской области на 2022-2024 г</w:t>
            </w:r>
            <w:r>
              <w:rPr>
                <w:rFonts w:asciiTheme="minorAscii" w:hAnsiTheme="minorHAnsi"/>
                <w:b w:val="0"/>
                <w:sz w:val="24"/>
              </w:rPr>
              <w:t>оды утвержден решением Курчатовской городской Думы от 21.12.2021 № 59.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Theme="majorAscii" w:hAnsiTheme="majorHAnsi"/>
                <w:b w:val="1"/>
                <w:sz w:val="24"/>
              </w:rPr>
            </w:pPr>
            <w:r>
              <w:rPr>
                <w:rFonts w:asciiTheme="minorAscii" w:hAnsiTheme="minorHAnsi"/>
                <w:sz w:val="24"/>
              </w:rPr>
              <w:t xml:space="preserve">Приватизация объектов недвижимого имущества муниципального образования "Город Курчатов" Курской области, включенных в Прогнозный план, осуществлялась комитетом по управлению имуществом </w:t>
            </w:r>
            <w:r>
              <w:rPr>
                <w:rFonts w:asciiTheme="minorAscii" w:hAnsiTheme="minorHAnsi"/>
                <w:sz w:val="24"/>
              </w:rPr>
              <w:t xml:space="preserve">г. Курчатова 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</w:t>
            </w:r>
            <w:r>
              <w:rPr>
                <w:rFonts w:asciiTheme="minorAscii" w:hAnsiTheme="minorHAnsi"/>
                <w:sz w:val="24"/>
              </w:rPr>
              <w:t>Прогнозный план, решения об условиях приватизации, сообщения о</w:t>
            </w:r>
            <w:r>
              <w:rPr>
                <w:rFonts w:asciiTheme="majorAscii" w:hAnsiTheme="majorHAnsi"/>
                <w:sz w:val="24"/>
              </w:rPr>
              <w:t xml:space="preserve"> продаже муниципальн</w:t>
            </w:r>
            <w:r>
              <w:rPr>
                <w:rFonts w:asciiTheme="majorAscii" w:hAnsiTheme="majorHAnsi"/>
                <w:sz w:val="24"/>
              </w:rPr>
              <w:t>ого имущества, информация о результатах сделок приватизации муниципального имущества размещалась в сети Интернет: на официальном сайте Российской Федерации о продаже приватизируемого государственного и муниципального имущества  - www.torgi.gov.ru, на сайте</w:t>
            </w:r>
            <w:r>
              <w:rPr>
                <w:rFonts w:asciiTheme="majorAscii" w:hAnsiTheme="majorHAnsi"/>
                <w:sz w:val="24"/>
              </w:rPr>
              <w:t xml:space="preserve"> Продавца – на официальном сайте муниципального образования "Город Курчатов" Курской области, на электронной торговой площадке АО "Единая электронная торговая площадка" </w:t>
            </w:r>
            <w:r>
              <w:rPr>
                <w:rStyle w:val="Style_8_ch"/>
                <w:rFonts w:asciiTheme="majorAscii" w:hAnsiTheme="majorHAnsi"/>
                <w:color w:val="000000"/>
                <w:sz w:val="24"/>
              </w:rPr>
              <w:fldChar w:fldCharType="begin"/>
            </w:r>
            <w:r>
              <w:rPr>
                <w:rStyle w:val="Style_8_ch"/>
                <w:rFonts w:asciiTheme="majorAscii" w:hAnsiTheme="majorHAnsi"/>
                <w:color w:val="000000"/>
                <w:sz w:val="24"/>
              </w:rPr>
              <w:instrText>HYPERLINK "http://178fz.roseltorg.ru"</w:instrText>
            </w:r>
            <w:r>
              <w:rPr>
                <w:rStyle w:val="Style_8_ch"/>
                <w:rFonts w:asciiTheme="majorAscii" w:hAnsiTheme="majorHAnsi"/>
                <w:color w:val="000000"/>
                <w:sz w:val="24"/>
              </w:rPr>
              <w:fldChar w:fldCharType="separate"/>
            </w:r>
            <w:r>
              <w:rPr>
                <w:rStyle w:val="Style_8_ch"/>
                <w:rFonts w:asciiTheme="majorAscii" w:hAnsiTheme="majorHAnsi"/>
                <w:color w:val="000000"/>
                <w:sz w:val="24"/>
              </w:rPr>
              <w:t>http</w:t>
            </w:r>
            <w:r>
              <w:rPr>
                <w:rStyle w:val="Style_8_ch"/>
                <w:rFonts w:asciiTheme="majorAscii" w:hAnsiTheme="majorHAnsi"/>
                <w:color w:val="000000"/>
                <w:sz w:val="24"/>
              </w:rPr>
              <w:t>://178fz.roseltorg.ru</w:t>
            </w:r>
            <w:r>
              <w:rPr>
                <w:rStyle w:val="Style_8_ch"/>
                <w:rFonts w:asciiTheme="majorAscii" w:hAnsiTheme="majorHAnsi"/>
                <w:color w:val="000000"/>
                <w:sz w:val="24"/>
              </w:rPr>
              <w:fldChar w:fldCharType="end"/>
            </w:r>
            <w:r>
              <w:rPr>
                <w:rFonts w:asciiTheme="majorAscii" w:hAnsiTheme="majorHAnsi"/>
                <w:sz w:val="24"/>
              </w:rPr>
              <w:t>. В соответствии с Про</w:t>
            </w:r>
            <w:r>
              <w:rPr>
                <w:rFonts w:asciiTheme="majorAscii" w:hAnsiTheme="majorHAnsi"/>
                <w:sz w:val="24"/>
              </w:rPr>
              <w:t xml:space="preserve">гнозным планом, в 2023 году приватизации подлежало 10 объектов недвижимого имущества - помещение и здания с земельными участками, рыночная стоимость от продажи которых составляла </w:t>
            </w:r>
            <w:r>
              <w:rPr>
                <w:rFonts w:asciiTheme="majorAscii" w:hAnsiTheme="majorHAnsi"/>
                <w:sz w:val="24"/>
              </w:rPr>
              <w:t xml:space="preserve">50,6 млн. руб. без НДС (57,4 млн. руб. с НДС). </w:t>
            </w:r>
            <w:r>
              <w:rPr>
                <w:rFonts w:asciiTheme="majorAscii" w:hAnsiTheme="majorHAnsi"/>
                <w:sz w:val="24"/>
              </w:rPr>
              <w:t>Также были проведены продажи п</w:t>
            </w:r>
            <w:r>
              <w:rPr>
                <w:rFonts w:asciiTheme="majorAscii" w:hAnsiTheme="majorHAnsi"/>
                <w:sz w:val="24"/>
              </w:rPr>
              <w:t>осредством публичного предложения в электронной форме по 10 лотам, аукционы по которым не состоялись в 2023 году по причине отсутствия</w:t>
            </w:r>
            <w:r>
              <w:rPr>
                <w:rFonts w:asciiTheme="majorAscii" w:hAnsiTheme="majorHAnsi"/>
                <w:b w:val="1"/>
                <w:sz w:val="24"/>
              </w:rPr>
              <w:t xml:space="preserve"> </w:t>
            </w:r>
            <w:r>
              <w:rPr>
                <w:rFonts w:asciiTheme="majorAscii" w:hAnsiTheme="majorHAnsi"/>
                <w:sz w:val="24"/>
              </w:rPr>
              <w:t>заявок, рыночной стоимостью 48,971 млн. руб.</w:t>
            </w:r>
            <w:r>
              <w:rPr>
                <w:rFonts w:asciiTheme="majorAscii" w:hAnsiTheme="majorHAnsi"/>
                <w:b w:val="1"/>
                <w:sz w:val="24"/>
              </w:rPr>
              <w:t xml:space="preserve"> </w:t>
            </w:r>
            <w:r>
              <w:rPr>
                <w:rFonts w:asciiTheme="majorAscii" w:hAnsiTheme="majorHAnsi"/>
                <w:sz w:val="24"/>
              </w:rPr>
              <w:t>без НДС</w:t>
            </w:r>
            <w:r>
              <w:rPr>
                <w:rFonts w:asciiTheme="majorAscii" w:hAnsiTheme="majorHAnsi"/>
                <w:b w:val="1"/>
                <w:sz w:val="24"/>
              </w:rPr>
              <w:t xml:space="preserve"> </w:t>
            </w:r>
            <w:r>
              <w:rPr>
                <w:rFonts w:asciiTheme="majorAscii" w:hAnsiTheme="majorHAnsi"/>
                <w:sz w:val="24"/>
              </w:rPr>
              <w:t xml:space="preserve">(минимальная цена предложения (цена отсечения) 24,485 млн. руб. без </w:t>
            </w:r>
            <w:r>
              <w:rPr>
                <w:rFonts w:asciiTheme="majorAscii" w:hAnsiTheme="majorHAnsi"/>
                <w:sz w:val="24"/>
              </w:rPr>
              <w:t>НДС), 55,571 млн. руб. с НДС</w:t>
            </w:r>
            <w:r>
              <w:rPr>
                <w:rFonts w:asciiTheme="majorAscii" w:hAnsiTheme="majorHAnsi"/>
                <w:b w:val="1"/>
                <w:sz w:val="24"/>
              </w:rPr>
              <w:t xml:space="preserve"> </w:t>
            </w:r>
            <w:r>
              <w:rPr>
                <w:rFonts w:asciiTheme="majorAscii" w:hAnsiTheme="majorHAnsi"/>
                <w:sz w:val="24"/>
              </w:rPr>
              <w:t>(минимальная цена предложения (цена отсечения) 27,785 млн. руб. с НДС).</w:t>
            </w:r>
            <w:r>
              <w:rPr>
                <w:rFonts w:asciiTheme="majorAscii" w:hAnsiTheme="majorHAnsi"/>
                <w:b w:val="1"/>
                <w:sz w:val="24"/>
              </w:rPr>
              <w:t xml:space="preserve"> </w:t>
            </w:r>
          </w:p>
          <w:p w14:paraId="02010000">
            <w:pPr>
              <w:spacing w:after="0" w:line="240" w:lineRule="auto"/>
              <w:ind/>
              <w:jc w:val="both"/>
              <w:outlineLvl w:val="2"/>
              <w:rPr>
                <w:rFonts w:asciiTheme="majorAscii" w:hAnsiTheme="majorHAnsi"/>
                <w:b w:val="1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За 2023 год комитетом по   управле</w:t>
            </w:r>
            <w:r>
              <w:rPr>
                <w:rFonts w:asciiTheme="majorAscii" w:hAnsiTheme="majorHAnsi"/>
                <w:sz w:val="24"/>
              </w:rPr>
              <w:t xml:space="preserve">нию   имуществом г. Курчатова </w:t>
            </w:r>
            <w:r>
              <w:rPr>
                <w:rFonts w:asciiTheme="majorAscii" w:hAnsiTheme="majorHAnsi"/>
                <w:sz w:val="24"/>
              </w:rPr>
              <w:t>было    организовано</w:t>
            </w:r>
            <w:r>
              <w:rPr>
                <w:rFonts w:asciiTheme="majorAscii" w:hAnsiTheme="majorHAnsi"/>
                <w:sz w:val="24"/>
              </w:rPr>
              <w:t xml:space="preserve"> и объявлено 20 аукционов в электронной форме о продаже объектов не</w:t>
            </w:r>
            <w:r>
              <w:rPr>
                <w:rFonts w:asciiTheme="majorAscii" w:hAnsiTheme="majorHAnsi"/>
                <w:sz w:val="24"/>
              </w:rPr>
              <w:t>движимого имущества.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 </w:t>
            </w:r>
            <w:r>
              <w:rPr>
                <w:rFonts w:asciiTheme="minorAscii" w:hAnsiTheme="minorHAnsi"/>
                <w:sz w:val="24"/>
              </w:rPr>
              <w:t>В 2023 году в результате проведения торгов посредством публичного предложения продано 6 объектов на общую сумму 1,765 млн. руб.: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>1. Гараж - площадь 19,7 кв. м., с земельным участком площадью 25 кв. м.;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>2. Помещение - площадь 410,1 кв.</w:t>
            </w:r>
            <w:r>
              <w:rPr>
                <w:rFonts w:asciiTheme="minorAscii" w:hAnsiTheme="minorHAnsi"/>
                <w:sz w:val="24"/>
              </w:rPr>
              <w:t xml:space="preserve"> м.;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>3. Здание - площадь 34,3 кв. м., с земельным участком площадью 51,0 кв. м.;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>4. Здание - площадь 32,7 кв. м., с земельным участком площадью 50,0 кв. м.;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 xml:space="preserve">5. Здание – площадь 31,4 кв. м., с земельным участком площадью 44,0 кв. м.               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>6. Здание</w:t>
            </w:r>
            <w:r>
              <w:rPr>
                <w:rFonts w:asciiTheme="minorAscii" w:hAnsiTheme="minorHAnsi"/>
                <w:sz w:val="24"/>
              </w:rPr>
              <w:t xml:space="preserve"> – площадь 52,2 кв. м., с земельным участком площадью 58,0 кв. м. </w:t>
            </w:r>
          </w:p>
          <w:p w14:paraId="0A01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 xml:space="preserve">Победителем продажи признан участник, предложивший наибольшую цену лота. </w:t>
            </w:r>
            <w:r>
              <w:rPr>
                <w:rFonts w:asciiTheme="minorAscii" w:hAnsiTheme="minorHAnsi"/>
                <w:sz w:val="24"/>
              </w:rPr>
              <w:t>Вышеуказанное имущество передано покупателю в установленном законодательством порядке.</w:t>
            </w:r>
          </w:p>
        </w:tc>
      </w:tr>
      <w:tr>
        <w:trPr>
          <w:trHeight w:hRule="atLeast" w:val="846"/>
        </w:trPr>
        <w:tc>
          <w:tcPr>
            <w:tcW w:type="dxa" w:w="516"/>
          </w:tcPr>
          <w:p w14:paraId="0B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6441"/>
          </w:tcPr>
          <w:p w14:paraId="0C01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унитарных </w:t>
            </w:r>
            <w:r>
              <w:rPr>
                <w:sz w:val="24"/>
              </w:rPr>
              <w:t>предприятий в план-график по реформированию (реорганизации/ликвидации/преобразованию) унитарных предприятий</w:t>
            </w:r>
          </w:p>
        </w:tc>
        <w:tc>
          <w:tcPr>
            <w:tcW w:type="dxa" w:w="2871"/>
          </w:tcPr>
          <w:p w14:paraId="0D01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роли государства на конкурентных товарных ранках</w:t>
            </w:r>
          </w:p>
        </w:tc>
        <w:tc>
          <w:tcPr>
            <w:tcW w:type="dxa" w:w="4734"/>
            <w:gridSpan w:val="1"/>
            <w:vMerge w:val="continue"/>
          </w:tcPr>
          <w:p/>
        </w:tc>
      </w:tr>
      <w:tr>
        <w:trPr>
          <w:trHeight w:hRule="atLeast" w:val="341"/>
        </w:trPr>
        <w:tc>
          <w:tcPr>
            <w:tcW w:type="dxa" w:w="516"/>
          </w:tcPr>
          <w:p w14:paraId="0E010000">
            <w:pPr>
              <w:pStyle w:val="Style_5"/>
              <w:ind w:firstLine="0" w:left="-142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4046"/>
            <w:gridSpan w:val="3"/>
          </w:tcPr>
          <w:p w14:paraId="0F01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Создание условий для недискриминационного доступа хозяйствующих субъектов на товарные </w:t>
            </w:r>
            <w:r>
              <w:rPr>
                <w:rFonts w:ascii="Times New Roman" w:hAnsi="Times New Roman"/>
                <w:b w:val="1"/>
                <w:sz w:val="24"/>
              </w:rPr>
              <w:t>рынки</w:t>
            </w:r>
          </w:p>
        </w:tc>
      </w:tr>
      <w:tr>
        <w:trPr>
          <w:trHeight w:hRule="atLeast" w:val="843"/>
        </w:trPr>
        <w:tc>
          <w:tcPr>
            <w:tcW w:type="dxa" w:w="516"/>
          </w:tcPr>
          <w:p w14:paraId="10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type="dxa" w:w="6441"/>
          </w:tcPr>
          <w:p w14:paraId="11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В целях продвижения продукции на потребительский рынок Курской области и других регионов привлечение предприятий к участию в </w:t>
            </w:r>
            <w:r>
              <w:rPr>
                <w:sz w:val="24"/>
              </w:rPr>
              <w:t>выставочно</w:t>
            </w:r>
            <w:r>
              <w:rPr>
                <w:sz w:val="24"/>
              </w:rPr>
              <w:t>-ярмарочных мероприятиях</w:t>
            </w:r>
          </w:p>
        </w:tc>
        <w:tc>
          <w:tcPr>
            <w:tcW w:type="dxa" w:w="2871"/>
          </w:tcPr>
          <w:p w14:paraId="12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Участие предприятий в региональных, российских и международных </w:t>
            </w:r>
            <w:r>
              <w:rPr>
                <w:sz w:val="24"/>
              </w:rPr>
              <w:t>выставочно</w:t>
            </w:r>
            <w:r>
              <w:rPr>
                <w:sz w:val="24"/>
              </w:rPr>
              <w:t>-ярмарочных</w:t>
            </w:r>
            <w:r>
              <w:rPr>
                <w:sz w:val="24"/>
              </w:rPr>
              <w:t xml:space="preserve"> мероприятиях</w:t>
            </w:r>
          </w:p>
        </w:tc>
        <w:tc>
          <w:tcPr>
            <w:tcW w:type="dxa" w:w="4734"/>
          </w:tcPr>
          <w:p w14:paraId="13010000">
            <w:pPr>
              <w:widowControl w:val="0"/>
              <w:spacing w:after="0" w:line="240" w:lineRule="auto"/>
              <w:ind w:firstLine="175"/>
              <w:jc w:val="both"/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Хозяйствующие субъекты МО «Город Курчатов» Курской области в 2023 году приняли участие в организации  торгового обслуживания населения в период проведения общегородских праздников:</w:t>
            </w:r>
          </w:p>
          <w:p w14:paraId="14010000">
            <w:pPr>
              <w:widowControl w:val="0"/>
              <w:tabs>
                <w:tab w:leader="none" w:pos="175" w:val="left"/>
              </w:tabs>
              <w:spacing w:after="0" w:line="240" w:lineRule="auto"/>
              <w:ind/>
              <w:jc w:val="both"/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- «Проводы Масленицы»;</w:t>
            </w:r>
          </w:p>
          <w:p w14:paraId="15010000">
            <w:pPr>
              <w:widowControl w:val="0"/>
              <w:tabs>
                <w:tab w:leader="none" w:pos="175" w:val="left"/>
              </w:tabs>
              <w:spacing w:after="0" w:line="240" w:lineRule="auto"/>
              <w:ind w:firstLine="0" w:left="33"/>
              <w:jc w:val="both"/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- «День города»;</w:t>
            </w:r>
          </w:p>
          <w:p w14:paraId="16010000">
            <w:pPr>
              <w:widowControl w:val="0"/>
              <w:tabs>
                <w:tab w:leader="none" w:pos="175" w:val="left"/>
              </w:tabs>
              <w:spacing w:after="0" w:line="240" w:lineRule="auto"/>
              <w:ind w:firstLine="0" w:left="33"/>
              <w:jc w:val="both"/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- «День молодежи»;</w:t>
            </w:r>
          </w:p>
          <w:p w14:paraId="17010000">
            <w:pPr>
              <w:widowControl w:val="0"/>
              <w:tabs>
                <w:tab w:leader="none" w:pos="175" w:val="left"/>
              </w:tabs>
              <w:spacing w:after="0" w:line="240" w:lineRule="auto"/>
              <w:ind/>
              <w:jc w:val="both"/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 - при проведении Первенства России по триатлону. </w:t>
            </w:r>
          </w:p>
          <w:p w14:paraId="18010000">
            <w:pPr>
              <w:spacing w:after="0" w:line="240" w:lineRule="auto"/>
              <w:ind/>
              <w:rPr>
                <w:rFonts w:asciiTheme="majorAscii" w:hAnsiTheme="majorHAnsi"/>
                <w:sz w:val="23"/>
              </w:rPr>
            </w:pPr>
            <w:r>
              <w:rPr>
                <w:rFonts w:asciiTheme="majorAscii" w:hAnsiTheme="majorHAnsi"/>
                <w:sz w:val="23"/>
              </w:rPr>
              <w:t xml:space="preserve">Организована городская </w:t>
            </w:r>
            <w:r>
              <w:rPr>
                <w:rFonts w:asciiTheme="majorAscii" w:hAnsiTheme="majorHAnsi"/>
                <w:sz w:val="23"/>
              </w:rPr>
              <w:t>сельскохозяйственная ярмарка «Осень-2023», в которой приняли участие 65 участников, в том числе жители города, товаропроизводители Курской области.</w:t>
            </w:r>
          </w:p>
          <w:p w14:paraId="19010000">
            <w:pPr>
              <w:pStyle w:val="Style_1"/>
              <w:ind w:firstLine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 ООО «Курская АЭС-Сервис» и       </w:t>
            </w:r>
            <w:r>
              <w:rPr>
                <w:rFonts w:asciiTheme="majorAscii" w:hAnsiTheme="majorHAnsi"/>
                <w:sz w:val="24"/>
              </w:rPr>
              <w:t xml:space="preserve">                 ИП Сучкова О.В. приняли участие в организации торгового обслуживания при проведении XXI межрегиональной оптово-розничной «Курской </w:t>
            </w:r>
            <w:r>
              <w:rPr>
                <w:rFonts w:asciiTheme="majorAscii" w:hAnsiTheme="majorHAnsi"/>
                <w:sz w:val="24"/>
              </w:rPr>
              <w:t>Коренской</w:t>
            </w:r>
            <w:r>
              <w:rPr>
                <w:rFonts w:asciiTheme="majorAscii" w:hAnsiTheme="majorHAnsi"/>
                <w:sz w:val="24"/>
              </w:rPr>
              <w:t xml:space="preserve"> ярмарки - 2023».</w:t>
            </w:r>
          </w:p>
        </w:tc>
      </w:tr>
      <w:tr>
        <w:trPr>
          <w:trHeight w:hRule="atLeast" w:val="698"/>
        </w:trPr>
        <w:tc>
          <w:tcPr>
            <w:tcW w:type="dxa" w:w="516"/>
          </w:tcPr>
          <w:p w14:paraId="1A010000">
            <w:pPr>
              <w:pStyle w:val="Style_5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14046"/>
            <w:gridSpan w:val="3"/>
          </w:tcPr>
          <w:p w14:paraId="1B010000">
            <w:pPr>
              <w:pStyle w:val="Style_5"/>
              <w:widowControl w:val="0"/>
              <w:ind w:firstLine="0" w:left="-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Содействие развитию практики применения механизмов </w:t>
            </w:r>
            <w:r>
              <w:rPr>
                <w:b w:val="1"/>
                <w:sz w:val="24"/>
              </w:rPr>
              <w:t>муниципально</w:t>
            </w:r>
            <w:r>
              <w:rPr>
                <w:b w:val="1"/>
                <w:sz w:val="24"/>
              </w:rPr>
              <w:t xml:space="preserve"> - частного парт</w:t>
            </w:r>
            <w:r>
              <w:rPr>
                <w:b w:val="1"/>
                <w:sz w:val="24"/>
              </w:rPr>
              <w:t>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культура)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1C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type="dxa" w:w="6441"/>
          </w:tcPr>
          <w:p w14:paraId="1D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Привлечение негосударственных организаций к оказанию услуг в социальной сфере посредством применения механизмов государственно-частного и </w:t>
            </w:r>
            <w:r>
              <w:rPr>
                <w:sz w:val="24"/>
              </w:rPr>
              <w:t>муниципально</w:t>
            </w:r>
            <w:r>
              <w:rPr>
                <w:sz w:val="24"/>
              </w:rPr>
              <w:t xml:space="preserve"> - частного партнерства, в том числе заключения концессионных соглашений</w:t>
            </w:r>
          </w:p>
        </w:tc>
        <w:tc>
          <w:tcPr>
            <w:tcW w:type="dxa" w:w="2871"/>
          </w:tcPr>
          <w:p w14:paraId="1E010000">
            <w:pPr>
              <w:pStyle w:val="Style_5"/>
              <w:ind w:firstLine="108" w:left="-108" w:right="-108"/>
              <w:rPr>
                <w:sz w:val="24"/>
              </w:rPr>
            </w:pPr>
            <w:r>
              <w:rPr>
                <w:sz w:val="24"/>
              </w:rPr>
              <w:t>Создание объектов в сфере социаль</w:t>
            </w:r>
            <w:r>
              <w:rPr>
                <w:sz w:val="24"/>
              </w:rPr>
              <w:t xml:space="preserve">ного обслуживания населения посредством применения механизмов </w:t>
            </w:r>
            <w:r>
              <w:rPr>
                <w:sz w:val="24"/>
              </w:rPr>
              <w:t>муниципально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-ч</w:t>
            </w:r>
            <w:r>
              <w:rPr>
                <w:sz w:val="24"/>
              </w:rPr>
              <w:t xml:space="preserve">астного партнерства, в </w:t>
            </w:r>
            <w:r>
              <w:rPr>
                <w:sz w:val="24"/>
              </w:rPr>
              <w:t>том числе заключения концессионных соглашений</w:t>
            </w:r>
          </w:p>
        </w:tc>
        <w:tc>
          <w:tcPr>
            <w:tcW w:type="dxa" w:w="4734"/>
            <w:vMerge w:val="restart"/>
          </w:tcPr>
          <w:p w14:paraId="1F010000">
            <w:pPr>
              <w:spacing w:line="240" w:lineRule="auto"/>
              <w:ind/>
              <w:jc w:val="both"/>
              <w:outlineLvl w:val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были проведены конкурсные процедуры по закупке услуг по предоставлению детского отдыха и оздоровле</w:t>
            </w:r>
            <w:r>
              <w:rPr>
                <w:rFonts w:ascii="Times New Roman" w:hAnsi="Times New Roman"/>
                <w:sz w:val="24"/>
              </w:rPr>
              <w:t xml:space="preserve">ния детей в организациях отдыха и оздоровления. Была проведена конкурентная закупка 136 путевок в </w:t>
            </w:r>
            <w:r>
              <w:rPr>
                <w:rFonts w:ascii="Times New Roman" w:hAnsi="Times New Roman"/>
                <w:sz w:val="24"/>
              </w:rPr>
              <w:t xml:space="preserve">профильный лагерь "Страна Лукоморье"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>Л"</w:t>
            </w:r>
            <w:r>
              <w:rPr>
                <w:rFonts w:ascii="Times New Roman" w:hAnsi="Times New Roman"/>
                <w:sz w:val="24"/>
              </w:rPr>
              <w:t>Соловушка</w:t>
            </w:r>
            <w:r>
              <w:rPr>
                <w:rFonts w:ascii="Times New Roman" w:hAnsi="Times New Roman"/>
                <w:sz w:val="24"/>
              </w:rPr>
              <w:t>" на базе санатория "Соловушка" на сумму 2,774661 млн. руб.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>
        <w:trPr>
          <w:trHeight w:hRule="atLeast" w:val="905"/>
        </w:trPr>
        <w:tc>
          <w:tcPr>
            <w:tcW w:type="dxa" w:w="516"/>
          </w:tcPr>
          <w:p w14:paraId="20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type="dxa" w:w="6441"/>
          </w:tcPr>
          <w:p w14:paraId="21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Обеспечение проведения конкурсных процеду</w:t>
            </w:r>
            <w:r>
              <w:rPr>
                <w:sz w:val="24"/>
              </w:rPr>
              <w:t>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type="dxa" w:w="2871"/>
          </w:tcPr>
          <w:p w14:paraId="22010000">
            <w:pPr>
              <w:pStyle w:val="Style_5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>Обеспечение равных условий деятельности организаций отдыха и оздоровления детей всех форм собственности</w:t>
            </w:r>
          </w:p>
        </w:tc>
        <w:tc>
          <w:tcPr>
            <w:tcW w:type="dxa" w:w="4734"/>
            <w:gridSpan w:val="1"/>
            <w:vMerge w:val="continue"/>
          </w:tcPr>
          <w:p/>
        </w:tc>
      </w:tr>
      <w:tr>
        <w:trPr>
          <w:trHeight w:hRule="atLeast" w:val="1060"/>
        </w:trPr>
        <w:tc>
          <w:tcPr>
            <w:tcW w:type="dxa" w:w="516"/>
          </w:tcPr>
          <w:p w14:paraId="23010000">
            <w:pPr>
              <w:pStyle w:val="Style_5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14046"/>
            <w:gridSpan w:val="3"/>
          </w:tcPr>
          <w:p w14:paraId="24010000">
            <w:pPr>
              <w:pStyle w:val="Style_5"/>
              <w:ind w:firstLine="0" w:left="-64" w:right="-1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Содействие развитию негосударственных</w:t>
            </w:r>
            <w:r>
              <w:rPr>
                <w:b w:val="1"/>
                <w:sz w:val="24"/>
              </w:rPr>
              <w:t xml:space="preserve">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</w:t>
            </w:r>
            <w:r>
              <w:rPr>
                <w:b w:val="1"/>
                <w:sz w:val="24"/>
              </w:rPr>
              <w:t>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</w:t>
            </w:r>
            <w:r>
              <w:rPr>
                <w:b w:val="1"/>
                <w:sz w:val="24"/>
              </w:rPr>
              <w:t xml:space="preserve"> оздоровление детей, дополнительное образование детей, производство</w:t>
            </w:r>
            <w:r>
              <w:rPr>
                <w:b w:val="1"/>
                <w:sz w:val="24"/>
              </w:rPr>
              <w:t xml:space="preserve">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</w:t>
            </w:r>
            <w:r>
              <w:rPr>
                <w:b w:val="1"/>
                <w:sz w:val="24"/>
              </w:rPr>
              <w:t>х некоммерческих организаций и "социального предпринимательства"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25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type="dxa" w:w="6441"/>
          </w:tcPr>
          <w:p w14:paraId="26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Обеспечение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</w:t>
            </w:r>
            <w:r>
              <w:rPr>
                <w:sz w:val="24"/>
              </w:rPr>
              <w:t>услуг населению</w:t>
            </w:r>
          </w:p>
        </w:tc>
        <w:tc>
          <w:tcPr>
            <w:tcW w:type="dxa" w:w="2871"/>
          </w:tcPr>
          <w:p w14:paraId="27010000">
            <w:pPr>
              <w:pStyle w:val="Style_5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>Расширение и совершенствование поддержки негосударственных организаций, оказывающих социальные услуги населению в сфере социального обслуживания</w:t>
            </w:r>
          </w:p>
        </w:tc>
        <w:tc>
          <w:tcPr>
            <w:tcW w:type="dxa" w:w="4734"/>
          </w:tcPr>
          <w:p w14:paraId="28010000">
            <w:pPr>
              <w:spacing w:after="0" w:line="240" w:lineRule="auto"/>
              <w:ind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>В 2023 году администрацией города Курчатова была оказана финансовая поддержка следующим негосуд</w:t>
            </w:r>
            <w:r>
              <w:rPr>
                <w:rFonts w:asciiTheme="minorAscii" w:hAnsiTheme="minorHAnsi"/>
                <w:sz w:val="24"/>
              </w:rPr>
              <w:t xml:space="preserve">арственным организациям, оказывающим социальные услуги населению в сфере социального обслуживания: </w:t>
            </w:r>
          </w:p>
          <w:p w14:paraId="29010000">
            <w:pPr>
              <w:spacing w:after="0" w:line="240" w:lineRule="auto"/>
              <w:ind w:firstLine="10"/>
              <w:jc w:val="both"/>
              <w:rPr>
                <w:rFonts w:asciiTheme="minorAscii" w:hAnsiTheme="minorHAnsi"/>
                <w:sz w:val="24"/>
              </w:rPr>
            </w:pPr>
            <w:r>
              <w:rPr>
                <w:rFonts w:asciiTheme="minorAscii" w:hAnsiTheme="minorHAnsi"/>
                <w:sz w:val="24"/>
              </w:rPr>
              <w:t>- Курчатовская городская общественная организация Курской областной общественной организации ветеранов (пенсионеров) войны, труда, Вооруженных Сил и правоох</w:t>
            </w:r>
            <w:r>
              <w:rPr>
                <w:rFonts w:asciiTheme="minorAscii" w:hAnsiTheme="minorHAnsi"/>
                <w:sz w:val="24"/>
              </w:rPr>
              <w:t>ранительных органов (субсидия 107,424 тыс. руб.);</w:t>
            </w:r>
          </w:p>
          <w:p w14:paraId="2A010000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Theme="minorAscii" w:hAnsiTheme="minorHAnsi"/>
                <w:sz w:val="24"/>
              </w:rPr>
              <w:t>- Автономная некоммерческая организация "Центр психолого-педагогической, медицинской и социальной помощи "Добрыня" (субсидия 559,304 тыс. руб.).</w:t>
            </w:r>
          </w:p>
        </w:tc>
      </w:tr>
      <w:tr>
        <w:trPr>
          <w:trHeight w:hRule="atLeast" w:val="563"/>
        </w:trPr>
        <w:tc>
          <w:tcPr>
            <w:tcW w:type="dxa" w:w="516"/>
          </w:tcPr>
          <w:p w14:paraId="2B010000">
            <w:pPr>
              <w:pStyle w:val="Style_5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4046"/>
            <w:gridSpan w:val="3"/>
          </w:tcPr>
          <w:p w14:paraId="2C010000">
            <w:pPr>
              <w:pStyle w:val="Style_5"/>
              <w:ind w:firstLine="0" w:left="-64" w:right="-1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Обеспечение равных условий доступа к информации о муниципа</w:t>
            </w:r>
            <w:r>
              <w:rPr>
                <w:b w:val="1"/>
                <w:sz w:val="24"/>
              </w:rPr>
              <w:t>льном имуществе МО "Город Курчатов" Курской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</w:t>
            </w:r>
            <w:r>
              <w:rPr>
                <w:b w:val="1"/>
                <w:sz w:val="24"/>
              </w:rPr>
              <w:t>и) пользование, а также о ресурсах всех видов, находящихся в муниципальной собственности  МО "Город Курчатов" Курской области, путем размещения</w:t>
            </w:r>
            <w:r>
              <w:rPr>
                <w:b w:val="1"/>
                <w:sz w:val="24"/>
              </w:rPr>
              <w:t xml:space="preserve"> указанной информации на официальном сайте Российской Федерации в сети "Интернет" для размещения информации о про</w:t>
            </w:r>
            <w:r>
              <w:rPr>
                <w:b w:val="1"/>
                <w:sz w:val="24"/>
              </w:rPr>
              <w:t>ведении торгов (www.torgi.gov.ru) и на официальном сайте уполномоченного органа в сети "Интернет"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2D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type="dxa" w:w="6441"/>
          </w:tcPr>
          <w:p w14:paraId="2E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Актуализация информации об объектах муниципального имущества МО "Город Курчатов" Курской области, включаемом в перечни для предоставления на льготных </w:t>
            </w:r>
            <w:r>
              <w:rPr>
                <w:sz w:val="24"/>
              </w:rPr>
              <w:t>условиях субъектам малого и среднего предпринимательства во владение и (или) пользование</w:t>
            </w:r>
          </w:p>
        </w:tc>
        <w:tc>
          <w:tcPr>
            <w:tcW w:type="dxa" w:w="2871"/>
          </w:tcPr>
          <w:p w14:paraId="2F010000">
            <w:pPr>
              <w:pStyle w:val="Style_5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>Размещение информации в информационно-телекоммуникационной сети "Интернет" на сайте МО "Город Курчатов" Курской области</w:t>
            </w:r>
          </w:p>
        </w:tc>
        <w:tc>
          <w:tcPr>
            <w:tcW w:type="dxa" w:w="4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Решением Курчатовской городской Думы от 04.07.2</w:t>
            </w:r>
            <w:r>
              <w:rPr>
                <w:rFonts w:ascii="Times New Roman" w:hAnsi="Times New Roman"/>
                <w:sz w:val="24"/>
              </w:rPr>
              <w:t xml:space="preserve">017 № 28гд утверждены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"consultantplus://offline/ref=5A73E49C277F6E3BEB7640147C156014546950B85BBBFBBDCE880849EAFE598302D99F343DDE076514CB18A5D25E4D7B9CEF1742CDAB26009D8A38dAEFL"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порядок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и условия предоставления в аренду муниципального имущества </w:t>
            </w:r>
            <w:r>
              <w:rPr>
                <w:rFonts w:ascii="Times New Roman" w:hAnsi="Times New Roman"/>
                <w:sz w:val="24"/>
              </w:rPr>
              <w:t>города Курчатова,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</w:t>
            </w:r>
            <w:r>
              <w:rPr>
                <w:rFonts w:ascii="Times New Roman" w:hAnsi="Times New Roman"/>
                <w:sz w:val="24"/>
              </w:rPr>
              <w:t>о и среднего предпринимательства в Российской Федерации".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Решением Курчатовской городской Думы от 15.04.2021 № 18 утверждены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"consultantplus://offline/ref=75723305948AF6A1B5A466341E89EDB329DAEE7247DD7E59049591792411609AF4C6280F518B9982410FA557ABCD44A386334FD974535B2B3C2D37ZCoCM"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</w:t>
            </w:r>
            <w:r>
              <w:rPr>
                <w:rFonts w:ascii="Times New Roman" w:hAnsi="Times New Roman"/>
                <w:sz w:val="24"/>
              </w:rPr>
              <w:t>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Постановлением администрации города Курчатова Курской о</w:t>
            </w:r>
            <w:r>
              <w:rPr>
                <w:rFonts w:ascii="Times New Roman" w:hAnsi="Times New Roman"/>
                <w:sz w:val="24"/>
              </w:rPr>
              <w:t xml:space="preserve">бласти от </w:t>
            </w:r>
            <w:r>
              <w:rPr>
                <w:rFonts w:ascii="Times New Roman" w:hAnsi="Times New Roman"/>
                <w:sz w:val="24"/>
              </w:rPr>
              <w:t xml:space="preserve">03.08.2021 № 907 (в </w:t>
            </w:r>
            <w:r>
              <w:rPr>
                <w:rFonts w:ascii="Times New Roman" w:hAnsi="Times New Roman"/>
                <w:sz w:val="24"/>
              </w:rPr>
              <w:t>ред. постановления от 28.08.2023</w:t>
            </w:r>
            <w:r>
              <w:rPr>
                <w:rFonts w:ascii="Times New Roman" w:hAnsi="Times New Roman"/>
                <w:sz w:val="24"/>
              </w:rPr>
              <w:t xml:space="preserve"> № 1152) "Об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</w:t>
            </w:r>
            <w:r>
              <w:rPr>
                <w:rFonts w:ascii="Times New Roman" w:hAnsi="Times New Roman"/>
                <w:sz w:val="24"/>
              </w:rPr>
      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доход")" утвержден перечень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муниципального имущества, находящегося в соб</w:t>
            </w:r>
            <w:r>
              <w:rPr>
                <w:rFonts w:ascii="Times New Roman" w:hAnsi="Times New Roman"/>
                <w:sz w:val="24"/>
              </w:rPr>
              <w:t xml:space="preserve">ственности муниципального образования "Город Курчатов" Курской области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</w:t>
            </w:r>
            <w:r>
              <w:rPr>
                <w:rFonts w:ascii="Times New Roman" w:hAnsi="Times New Roman"/>
                <w:sz w:val="24"/>
              </w:rPr>
              <w:t>и физических лиц, не являющихся индивидуальными предпринимателями и применяющих специальный налоговый режим "Налог на профессиональный доход"), предназначенного для предоставления во владение и (или) в пользование на</w:t>
            </w:r>
            <w:r>
              <w:rPr>
                <w:rFonts w:ascii="Times New Roman" w:hAnsi="Times New Roman"/>
                <w:sz w:val="24"/>
              </w:rPr>
              <w:t xml:space="preserve"> долгосрочной основе субъектам малого и </w:t>
            </w:r>
            <w:r>
              <w:rPr>
                <w:rFonts w:ascii="Times New Roman" w:hAnsi="Times New Roman"/>
                <w:sz w:val="24"/>
              </w:rPr>
              <w:t xml:space="preserve">среднего предпринимательства и организациям, образующим инфраструктуру поддержки субъектов малого и среднего предпринимательства. В перечень внесено 11 объектов.  </w:t>
            </w:r>
          </w:p>
          <w:p w14:paraId="3101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наличии свободных помещений для сдачи в аренду и об объектах, находящихся в мун</w:t>
            </w:r>
            <w:r>
              <w:rPr>
                <w:rFonts w:ascii="Times New Roman" w:hAnsi="Times New Roman"/>
                <w:sz w:val="24"/>
              </w:rPr>
              <w:t xml:space="preserve">иципальной собственности, размещена на официальном сайте администрации города Курчатова. </w:t>
            </w:r>
          </w:p>
        </w:tc>
      </w:tr>
      <w:tr>
        <w:trPr>
          <w:trHeight w:hRule="atLeast" w:val="594"/>
        </w:trPr>
        <w:tc>
          <w:tcPr>
            <w:tcW w:type="dxa" w:w="516"/>
          </w:tcPr>
          <w:p w14:paraId="32010000">
            <w:pPr>
              <w:pStyle w:val="Style_5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b w:val="1"/>
                <w:sz w:val="24"/>
              </w:rPr>
              <w:t>9</w:t>
            </w:r>
          </w:p>
        </w:tc>
        <w:tc>
          <w:tcPr>
            <w:tcW w:type="dxa" w:w="14046"/>
            <w:gridSpan w:val="3"/>
            <w:vAlign w:val="center"/>
          </w:tcPr>
          <w:p w14:paraId="3301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Обучение муниципальных служащих основам государственной политики в области развития конкуренции и антимонопольного </w:t>
            </w:r>
            <w:r>
              <w:rPr>
                <w:rFonts w:ascii="Times New Roman" w:hAnsi="Times New Roman"/>
                <w:b w:val="1"/>
                <w:sz w:val="24"/>
              </w:rPr>
              <w:t>законодательства Российской Федерации</w:t>
            </w:r>
          </w:p>
        </w:tc>
      </w:tr>
      <w:tr>
        <w:trPr>
          <w:trHeight w:hRule="atLeast" w:val="834"/>
        </w:trPr>
        <w:tc>
          <w:tcPr>
            <w:tcW w:type="dxa" w:w="516"/>
          </w:tcPr>
          <w:p w14:paraId="34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type="dxa" w:w="6441"/>
          </w:tcPr>
          <w:p w14:paraId="35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type="dxa" w:w="2871"/>
          </w:tcPr>
          <w:p w14:paraId="36010000">
            <w:pPr>
              <w:pStyle w:val="Style_5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>Повышение уровня знаний муниципальных служащих МО "Город Курчатов" Курской области в части основ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type="dxa" w:w="4734"/>
          </w:tcPr>
          <w:p w14:paraId="3701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ознакомления с лучшими региональными п</w:t>
            </w:r>
            <w:r>
              <w:rPr>
                <w:rFonts w:ascii="Times New Roman" w:hAnsi="Times New Roman"/>
                <w:sz w:val="24"/>
              </w:rPr>
              <w:t xml:space="preserve">рактиками сотрудники администрации города Курчатова в 2023 году были ознакомлены с "Черной книгой" </w:t>
            </w:r>
            <w:r>
              <w:rPr>
                <w:rFonts w:ascii="Times New Roman" w:hAnsi="Times New Roman"/>
                <w:sz w:val="24"/>
              </w:rPr>
              <w:t>проконкурентных</w:t>
            </w:r>
            <w:r>
              <w:rPr>
                <w:rFonts w:ascii="Times New Roman" w:hAnsi="Times New Roman"/>
                <w:sz w:val="24"/>
              </w:rPr>
              <w:t xml:space="preserve"> региональных практик и "Белой книгой" </w:t>
            </w:r>
            <w:r>
              <w:rPr>
                <w:rFonts w:ascii="Times New Roman" w:hAnsi="Times New Roman"/>
                <w:sz w:val="24"/>
              </w:rPr>
              <w:t>антиконкурентных</w:t>
            </w:r>
            <w:r>
              <w:rPr>
                <w:rFonts w:ascii="Times New Roman" w:hAnsi="Times New Roman"/>
                <w:sz w:val="24"/>
              </w:rPr>
              <w:t xml:space="preserve"> региональных практик, подготовленных Федеральной антимонопольной службой.</w:t>
            </w:r>
          </w:p>
        </w:tc>
      </w:tr>
      <w:tr>
        <w:trPr>
          <w:trHeight w:hRule="atLeast" w:val="611"/>
        </w:trPr>
        <w:tc>
          <w:tcPr>
            <w:tcW w:type="dxa" w:w="516"/>
          </w:tcPr>
          <w:p w14:paraId="38010000">
            <w:pPr>
              <w:pStyle w:val="Style_5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14046"/>
            <w:gridSpan w:val="3"/>
          </w:tcPr>
          <w:p w14:paraId="3901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Определе</w:t>
            </w:r>
            <w:r>
              <w:rPr>
                <w:rFonts w:ascii="Times New Roman" w:hAnsi="Times New Roman"/>
                <w:b w:val="1"/>
                <w:sz w:val="24"/>
              </w:rPr>
              <w:t>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>
        <w:trPr>
          <w:trHeight w:hRule="atLeast" w:val="563"/>
        </w:trPr>
        <w:tc>
          <w:tcPr>
            <w:tcW w:type="dxa" w:w="516"/>
          </w:tcPr>
          <w:p w14:paraId="3A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type="dxa" w:w="6441"/>
            <w:vAlign w:val="center"/>
          </w:tcPr>
          <w:p w14:paraId="3B01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плановых и внеплановых проверок целевого использования муниципального недвижимого имущества </w:t>
            </w:r>
          </w:p>
        </w:tc>
        <w:tc>
          <w:tcPr>
            <w:tcW w:type="dxa" w:w="2871"/>
            <w:vMerge w:val="restart"/>
          </w:tcPr>
          <w:p w14:paraId="3C010000">
            <w:pPr>
              <w:pStyle w:val="Style_5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>Вовлечение неиспользуемого (используемого не по назначению) недвижимого имущества в хозяйственный оборот с сохранением целевого назначения</w:t>
            </w:r>
          </w:p>
        </w:tc>
        <w:tc>
          <w:tcPr>
            <w:tcW w:type="dxa" w:w="4734"/>
            <w:vMerge w:val="restart"/>
          </w:tcPr>
          <w:p w14:paraId="3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</w:t>
            </w:r>
            <w:r>
              <w:rPr>
                <w:rFonts w:ascii="Times New Roman" w:hAnsi="Times New Roman"/>
                <w:sz w:val="24"/>
              </w:rPr>
              <w:t>и с постановлением Правительства РФ от 10.03.2022 №336 "Об особенностях организации и осуществления государственного контроля (надзора), муниципального контроля" в 2023 году плановые контрольные (надзорные) мероприятия и плановые проверки целевого использо</w:t>
            </w:r>
            <w:r>
              <w:rPr>
                <w:rFonts w:ascii="Times New Roman" w:hAnsi="Times New Roman"/>
                <w:sz w:val="24"/>
              </w:rPr>
              <w:t>вания муниципального недвижимого имущества не проводились.</w:t>
            </w:r>
          </w:p>
        </w:tc>
      </w:tr>
      <w:tr>
        <w:trPr>
          <w:trHeight w:hRule="atLeast" w:val="841"/>
        </w:trPr>
        <w:tc>
          <w:tcPr>
            <w:tcW w:type="dxa" w:w="516"/>
          </w:tcPr>
          <w:p w14:paraId="3E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type="dxa" w:w="6441"/>
          </w:tcPr>
          <w:p w14:paraId="3F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Выявление неиспользуемого (используемого не по назначению)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type="dxa" w:w="2871"/>
            <w:gridSpan w:val="1"/>
            <w:vMerge w:val="continue"/>
          </w:tcPr>
          <w:p/>
        </w:tc>
        <w:tc>
          <w:tcPr>
            <w:tcW w:type="dxa" w:w="4734"/>
            <w:gridSpan w:val="1"/>
            <w:vMerge w:val="continue"/>
          </w:tcPr>
          <w:p/>
        </w:tc>
      </w:tr>
      <w:tr>
        <w:trPr>
          <w:trHeight w:hRule="atLeast" w:val="871"/>
        </w:trPr>
        <w:tc>
          <w:tcPr>
            <w:tcW w:type="dxa" w:w="516"/>
          </w:tcPr>
          <w:p w14:paraId="40010000">
            <w:pPr>
              <w:pStyle w:val="Style_5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14046"/>
            <w:gridSpan w:val="3"/>
          </w:tcPr>
          <w:p w14:paraId="4101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Приватизация либо </w:t>
            </w:r>
            <w:r>
              <w:rPr>
                <w:rFonts w:ascii="Times New Roman" w:hAnsi="Times New Roman"/>
                <w:b w:val="1"/>
                <w:sz w:val="24"/>
              </w:rPr>
              <w:t>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42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type="dxa" w:w="6441"/>
          </w:tcPr>
          <w:p w14:paraId="43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Перепрофилир</w:t>
            </w:r>
            <w:r>
              <w:rPr>
                <w:sz w:val="24"/>
              </w:rPr>
              <w:t>ование (изменение целевого назначения имущества).</w:t>
            </w:r>
          </w:p>
          <w:p w14:paraId="44010000">
            <w:pPr>
              <w:pStyle w:val="Style_5"/>
              <w:rPr>
                <w:sz w:val="24"/>
              </w:rPr>
            </w:pPr>
          </w:p>
          <w:p w14:paraId="45010000">
            <w:pPr>
              <w:pStyle w:val="Style_5"/>
              <w:rPr>
                <w:sz w:val="24"/>
              </w:rPr>
            </w:pPr>
          </w:p>
        </w:tc>
        <w:tc>
          <w:tcPr>
            <w:tcW w:type="dxa" w:w="2871"/>
          </w:tcPr>
          <w:p w14:paraId="46010000">
            <w:pPr>
              <w:pStyle w:val="Style_5"/>
              <w:ind w:firstLine="0" w:left="-108" w:right="-182"/>
              <w:rPr>
                <w:sz w:val="24"/>
              </w:rPr>
            </w:pPr>
            <w:r>
              <w:rPr>
                <w:sz w:val="24"/>
              </w:rPr>
              <w:t>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</w:t>
            </w:r>
            <w:r>
              <w:rPr>
                <w:sz w:val="24"/>
              </w:rPr>
              <w:t xml:space="preserve"> органов местного самоуправления</w:t>
            </w:r>
          </w:p>
        </w:tc>
        <w:tc>
          <w:tcPr>
            <w:tcW w:type="dxa" w:w="4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 w:firstLine="0" w:left="-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осуществлен перевод 3 жилых помещений в нежилые в отношении муниципального имущества, не соответствующего требованиям о</w:t>
            </w:r>
            <w:r>
              <w:rPr>
                <w:rFonts w:ascii="Times New Roman" w:hAnsi="Times New Roman"/>
                <w:sz w:val="24"/>
              </w:rPr>
              <w:t>тнесения к категории имущества</w:t>
            </w:r>
            <w:r>
              <w:rPr>
                <w:rFonts w:ascii="Times New Roman" w:hAnsi="Times New Roman"/>
                <w:sz w:val="24"/>
              </w:rPr>
              <w:t>, предназначенного для реализации функций и полномочий органов местного самоуправления.</w:t>
            </w:r>
          </w:p>
          <w:p w14:paraId="48010000">
            <w:pPr>
              <w:numPr>
                <w:ilvl w:val="0"/>
                <w:numId w:val="2"/>
              </w:numPr>
              <w:tabs>
                <w:tab w:leader="none" w:pos="372" w:val="left"/>
              </w:tabs>
              <w:spacing w:after="0" w:line="240" w:lineRule="auto"/>
              <w:ind w:firstLine="284" w:left="-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Курская область, г. Курчатов, ул. Мира, д. 17, помещение 112.</w:t>
            </w:r>
          </w:p>
          <w:p w14:paraId="49010000">
            <w:pPr>
              <w:numPr>
                <w:ilvl w:val="0"/>
                <w:numId w:val="2"/>
              </w:numPr>
              <w:tabs>
                <w:tab w:leader="none" w:pos="372" w:val="left"/>
              </w:tabs>
              <w:spacing w:after="0" w:line="240" w:lineRule="auto"/>
              <w:ind w:firstLine="284" w:left="-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Курская область, г. Курчатов, ул. Ленинградская, д. 13, пом. I.</w:t>
            </w:r>
          </w:p>
          <w:p w14:paraId="4A010000">
            <w:pPr>
              <w:numPr>
                <w:ilvl w:val="0"/>
                <w:numId w:val="2"/>
              </w:numPr>
              <w:tabs>
                <w:tab w:leader="none" w:pos="372" w:val="left"/>
              </w:tabs>
              <w:spacing w:after="0" w:line="240" w:lineRule="auto"/>
              <w:ind w:firstLine="284" w:left="-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Курская область, г. Курчатов, ул.</w:t>
            </w:r>
            <w:r>
              <w:rPr>
                <w:rFonts w:ascii="Times New Roman" w:hAnsi="Times New Roman"/>
                <w:sz w:val="24"/>
              </w:rPr>
              <w:t xml:space="preserve"> Ленинградская, д. 13, пом. III.</w:t>
            </w:r>
          </w:p>
          <w:p w14:paraId="4B010000">
            <w:pPr>
              <w:tabs>
                <w:tab w:leader="none" w:pos="372" w:val="left"/>
              </w:tabs>
              <w:spacing w:after="0" w:line="240" w:lineRule="auto"/>
              <w:ind w:firstLine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</w:t>
            </w:r>
            <w:r>
              <w:rPr>
                <w:rFonts w:ascii="Times New Roman" w:hAnsi="Times New Roman"/>
                <w:sz w:val="24"/>
              </w:rPr>
              <w:t xml:space="preserve"> в 2023 году осуществлен перевод 1 нежилого помещения, расположенного по адресу: Курская область, г. Курчатов, ул. Садовая, д. 11, пом. I. В результате раздела указанного объекта и проведенной перепланировки с переуст</w:t>
            </w:r>
            <w:r>
              <w:rPr>
                <w:rFonts w:ascii="Times New Roman" w:hAnsi="Times New Roman"/>
                <w:sz w:val="24"/>
              </w:rPr>
              <w:t xml:space="preserve">ройством образованы 2 </w:t>
            </w:r>
            <w:r>
              <w:rPr>
                <w:rFonts w:ascii="Times New Roman" w:hAnsi="Times New Roman"/>
                <w:sz w:val="24"/>
              </w:rPr>
              <w:t>жилых</w:t>
            </w:r>
            <w:r>
              <w:rPr>
                <w:rFonts w:ascii="Times New Roman" w:hAnsi="Times New Roman"/>
                <w:sz w:val="24"/>
              </w:rPr>
              <w:t xml:space="preserve"> помещения:</w:t>
            </w:r>
          </w:p>
          <w:p w14:paraId="4C010000">
            <w:pPr>
              <w:numPr>
                <w:ilvl w:val="0"/>
                <w:numId w:val="3"/>
              </w:numPr>
              <w:tabs>
                <w:tab w:leader="none" w:pos="372" w:val="left"/>
              </w:tabs>
              <w:spacing w:after="0" w:line="240" w:lineRule="auto"/>
              <w:ind w:firstLine="142" w:left="-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Курская область, г. Курчатов,                         ул. Садовая, д. 11, кв. № 102а.</w:t>
            </w:r>
          </w:p>
          <w:p w14:paraId="4D010000">
            <w:pPr>
              <w:numPr>
                <w:ilvl w:val="0"/>
                <w:numId w:val="3"/>
              </w:numPr>
              <w:tabs>
                <w:tab w:leader="none" w:pos="372" w:val="left"/>
              </w:tabs>
              <w:spacing w:after="0" w:line="240" w:lineRule="auto"/>
              <w:ind w:firstLine="142" w:left="-54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Курская область, г. Курчатов,                  ул. Садовая, д. 11, кв. № 102б. </w:t>
            </w:r>
          </w:p>
        </w:tc>
      </w:tr>
      <w:tr>
        <w:trPr>
          <w:trHeight w:hRule="atLeast" w:val="616"/>
        </w:trPr>
        <w:tc>
          <w:tcPr>
            <w:tcW w:type="dxa" w:w="516"/>
          </w:tcPr>
          <w:p w14:paraId="4E010000">
            <w:pPr>
              <w:pStyle w:val="Style_5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b w:val="1"/>
                <w:sz w:val="24"/>
              </w:rPr>
              <w:t>12</w:t>
            </w:r>
          </w:p>
        </w:tc>
        <w:tc>
          <w:tcPr>
            <w:tcW w:type="dxa" w:w="14046"/>
            <w:gridSpan w:val="3"/>
            <w:vAlign w:val="center"/>
          </w:tcPr>
          <w:p w14:paraId="4F01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Style w:val="Style_11_ch"/>
                <w:b w:val="1"/>
                <w:sz w:val="24"/>
              </w:rPr>
              <w:t xml:space="preserve">Размещение в сети "Интернет" на официальном сайте </w:t>
            </w:r>
            <w:r>
              <w:rPr>
                <w:rFonts w:ascii="Times New Roman" w:hAnsi="Times New Roman"/>
                <w:b w:val="1"/>
                <w:sz w:val="24"/>
              </w:rPr>
              <w:t>МО "Город Курчатов" Курской области</w:t>
            </w:r>
            <w:r>
              <w:rPr>
                <w:rStyle w:val="Style_11_ch"/>
                <w:b w:val="1"/>
                <w:sz w:val="24"/>
              </w:rPr>
              <w:t xml:space="preserve"> информации о результатах реализации муниципальной политики по развитию конкуренции</w:t>
            </w:r>
          </w:p>
        </w:tc>
      </w:tr>
      <w:tr>
        <w:trPr>
          <w:trHeight w:hRule="atLeast" w:val="1060"/>
        </w:trPr>
        <w:tc>
          <w:tcPr>
            <w:tcW w:type="dxa" w:w="516"/>
          </w:tcPr>
          <w:p w14:paraId="50010000">
            <w:pPr>
              <w:pStyle w:val="Style_5"/>
              <w:ind w:firstLine="0"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type="dxa" w:w="6441"/>
          </w:tcPr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11_ch"/>
                <w:sz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4"/>
              </w:rPr>
              <w:t>МО "Город Курчатов" Курской области</w:t>
            </w:r>
            <w:r>
              <w:rPr>
                <w:rStyle w:val="Style_11_ch"/>
                <w:sz w:val="24"/>
              </w:rPr>
              <w:t xml:space="preserve"> в сети "Инте</w:t>
            </w:r>
            <w:r>
              <w:rPr>
                <w:rStyle w:val="Style_11_ch"/>
                <w:sz w:val="24"/>
              </w:rPr>
              <w:t>рнет" информации о результатах реализации муниципальной политики по развитию конкуренции, в том числе положений Национального плана</w:t>
            </w:r>
          </w:p>
        </w:tc>
        <w:tc>
          <w:tcPr>
            <w:tcW w:type="dxa" w:w="2871"/>
          </w:tcPr>
          <w:p w14:paraId="52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 электронный информационный ресурс в сети "Интернет", информация по исполнению мероприятий Национального плана </w:t>
            </w:r>
          </w:p>
          <w:p w14:paraId="53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54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5501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5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34"/>
          </w:tcPr>
          <w:p w14:paraId="5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администрации города Курчатова Курской области от 28.12.2021 №558р  "Об утверждении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"consultantplus://offline/ref=59FB419533F33B3555AA873D520473ADAE783A79EFAC7641AC37FDB37AA99BA2B8EFE18831477CF745AD19f0b9N"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плана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мероприятий ("доро</w:t>
            </w:r>
            <w:r>
              <w:rPr>
                <w:rFonts w:ascii="Times New Roman" w:hAnsi="Times New Roman"/>
                <w:sz w:val="24"/>
              </w:rPr>
              <w:t xml:space="preserve">жной карты") и ключевых показателей </w:t>
            </w:r>
            <w:r>
              <w:rPr>
                <w:rStyle w:val="Style_2_ch"/>
                <w:rFonts w:ascii="Times New Roman" w:hAnsi="Times New Roman"/>
                <w:sz w:val="24"/>
              </w:rPr>
              <w:t>по содействию развитию конкуренции в 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Style w:val="Style_2_ch"/>
                <w:rFonts w:ascii="Times New Roman" w:hAnsi="Times New Roman"/>
                <w:sz w:val="24"/>
              </w:rPr>
              <w:t xml:space="preserve">пальном образовании "Город Курчатов" Курской области </w:t>
            </w:r>
            <w:r>
              <w:rPr>
                <w:rFonts w:ascii="Times New Roman" w:hAnsi="Times New Roman"/>
                <w:sz w:val="24"/>
              </w:rPr>
              <w:t>на 2022 - 2025 годы" размещено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официальном сайте МО "Город Курчатов" в разделе "Стандарт развития конкуренции</w:t>
            </w:r>
            <w:r>
              <w:rPr>
                <w:rFonts w:ascii="Times New Roman" w:hAnsi="Times New Roman"/>
                <w:sz w:val="24"/>
              </w:rPr>
              <w:t>".</w:t>
            </w:r>
          </w:p>
          <w:p w14:paraId="5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в этом разделе размещены отчеты о ходе реализации планов мероприятий "дорожных карт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" за 2019, 2020, 2021, 2022 и 2023 годы на территории МО "Город Курчатов". </w:t>
            </w:r>
          </w:p>
          <w:p w14:paraId="5901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https://kurchatov.gosuslugi.ru/ofitsialno/ekonomika/standart-razvit</w:t>
            </w:r>
            <w:r>
              <w:rPr>
                <w:rFonts w:ascii="Times New Roman" w:hAnsi="Times New Roman"/>
                <w:sz w:val="24"/>
              </w:rPr>
              <w:t>iya-konkurentsii/</w:t>
            </w:r>
          </w:p>
        </w:tc>
      </w:tr>
    </w:tbl>
    <w:p w14:paraId="5A010000">
      <w:pPr>
        <w:pStyle w:val="Style_6"/>
        <w:ind/>
        <w:jc w:val="center"/>
        <w:rPr>
          <w:rFonts w:ascii="Times New Roman" w:hAnsi="Times New Roman"/>
          <w:b w:val="1"/>
          <w:color w:val="FF0000"/>
          <w:sz w:val="28"/>
        </w:rPr>
      </w:pPr>
    </w:p>
    <w:p w14:paraId="5B010000">
      <w:pPr>
        <w:pStyle w:val="Style_6"/>
        <w:ind/>
        <w:jc w:val="center"/>
        <w:rPr>
          <w:rFonts w:ascii="Times New Roman" w:hAnsi="Times New Roman"/>
          <w:b w:val="1"/>
          <w:color w:val="FF0000"/>
          <w:sz w:val="28"/>
        </w:rPr>
      </w:pPr>
    </w:p>
    <w:p w14:paraId="5C010000">
      <w:pPr>
        <w:pStyle w:val="Style_6"/>
        <w:ind/>
        <w:jc w:val="center"/>
        <w:rPr>
          <w:rFonts w:ascii="Times New Roman" w:hAnsi="Times New Roman"/>
          <w:b w:val="1"/>
          <w:color w:val="FF0000"/>
          <w:sz w:val="28"/>
        </w:rPr>
      </w:pPr>
    </w:p>
    <w:p w14:paraId="5D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Комитета экономического развития и малого </w:t>
      </w:r>
    </w:p>
    <w:p w14:paraId="5E010000">
      <w:pPr>
        <w:pStyle w:val="Style_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предпринимательства администрации города Курчатова                                                                                        Т.В. </w:t>
      </w:r>
      <w:r>
        <w:rPr>
          <w:rFonts w:ascii="Times New Roman" w:hAnsi="Times New Roman"/>
          <w:sz w:val="28"/>
        </w:rPr>
        <w:t>Варакута</w:t>
      </w:r>
    </w:p>
    <w:p w14:paraId="5F010000">
      <w:pPr>
        <w:pStyle w:val="Style_3"/>
        <w:rPr>
          <w:b w:val="1"/>
          <w:sz w:val="28"/>
        </w:rPr>
      </w:pPr>
    </w:p>
    <w:sectPr>
      <w:pgSz w:h="11906" w:orient="landscape" w:w="16838"/>
      <w:pgMar w:bottom="709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8"/>
      </w:rPr>
    </w:rPrDefault>
    <w:pPrDefault>
      <w:pPr>
        <w:spacing w:after="0" w:before="0" w:line="240" w:lineRule="auto"/>
        <w:ind w:firstLine="720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spacing w:after="200" w:line="276" w:lineRule="auto"/>
      <w:ind w:firstLine="0"/>
      <w:jc w:val="left"/>
    </w:pPr>
    <w:rPr>
      <w:rFonts w:ascii="Calibri" w:hAnsi="Calibri"/>
      <w:sz w:val="22"/>
    </w:rPr>
  </w:style>
  <w:style w:default="1" w:styleId="Style_14_ch" w:type="character">
    <w:name w:val="Normal"/>
    <w:link w:val="Style_14"/>
    <w:rPr>
      <w:rFonts w:ascii="Calibri" w:hAnsi="Calibri"/>
      <w:sz w:val="22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</w:rPr>
  </w:style>
  <w:style w:styleId="Style_15_ch" w:type="character">
    <w:name w:val="toc 2"/>
    <w:link w:val="Style_15"/>
    <w:rPr>
      <w:rFonts w:ascii="XO Thames" w:hAnsi="XO Thames"/>
    </w:rPr>
  </w:style>
  <w:style w:styleId="Style_2" w:type="paragraph">
    <w:name w:val="Основной текст (6)"/>
    <w:basedOn w:val="Style_14"/>
    <w:link w:val="Style_2_ch"/>
    <w:pPr>
      <w:widowControl w:val="0"/>
      <w:spacing w:after="0" w:line="240" w:lineRule="atLeast"/>
      <w:ind w:firstLine="720"/>
      <w:jc w:val="both"/>
    </w:pPr>
    <w:rPr>
      <w:rFonts w:ascii="CordiaUPC" w:hAnsi="CordiaUPC"/>
      <w:sz w:val="8"/>
    </w:rPr>
  </w:style>
  <w:style w:styleId="Style_2_ch" w:type="character">
    <w:name w:val="Основной текст (6)"/>
    <w:basedOn w:val="Style_14_ch"/>
    <w:link w:val="Style_2"/>
    <w:rPr>
      <w:rFonts w:ascii="CordiaUPC" w:hAnsi="CordiaUPC"/>
      <w:sz w:val="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4"/>
    <w:next w:val="Style_14"/>
    <w:link w:val="Style_17_ch"/>
    <w:uiPriority w:val="39"/>
    <w:pPr>
      <w:ind w:firstLine="0" w:left="600"/>
      <w:jc w:val="left"/>
    </w:pPr>
    <w:rPr>
      <w:rFonts w:ascii="XO Thames" w:hAnsi="XO Thames"/>
    </w:rPr>
  </w:style>
  <w:style w:styleId="Style_17_ch" w:type="character">
    <w:name w:val="toc 4"/>
    <w:link w:val="Style_17"/>
    <w:rPr>
      <w:rFonts w:ascii="XO Thames" w:hAnsi="XO Thames"/>
    </w:rPr>
  </w:style>
  <w:style w:styleId="Style_18" w:type="paragraph">
    <w:name w:val="heading 7"/>
    <w:basedOn w:val="Style_14"/>
    <w:next w:val="Style_14"/>
    <w:link w:val="Style_18_ch"/>
    <w:uiPriority w:val="9"/>
    <w:qFormat/>
    <w:pPr>
      <w:keepNext w:val="1"/>
      <w:keepLines w:val="1"/>
      <w:spacing w:after="0" w:before="200" w:line="240" w:lineRule="auto"/>
      <w:ind w:firstLine="720"/>
      <w:jc w:val="both"/>
      <w:outlineLvl w:val="6"/>
    </w:pPr>
    <w:rPr>
      <w:rFonts w:asciiTheme="majorAscii" w:hAnsiTheme="majorHAnsi"/>
      <w:i w:val="1"/>
      <w:color w:themeColor="text1" w:themeTint="BF" w:val="404040"/>
    </w:rPr>
  </w:style>
  <w:style w:styleId="Style_18_ch" w:type="character">
    <w:name w:val="heading 7"/>
    <w:basedOn w:val="Style_14_ch"/>
    <w:link w:val="Style_18"/>
    <w:rPr>
      <w:rFonts w:asciiTheme="majorAscii" w:hAnsiTheme="majorHAnsi"/>
      <w:i w:val="1"/>
      <w:color w:themeColor="text1" w:themeTint="BF" w:val="404040"/>
    </w:rPr>
  </w:style>
  <w:style w:styleId="Style_19" w:type="paragraph">
    <w:name w:val="Основной текст (5)"/>
    <w:basedOn w:val="Style_14"/>
    <w:link w:val="Style_19_ch"/>
    <w:pPr>
      <w:widowControl w:val="0"/>
      <w:spacing w:after="60" w:before="240" w:line="240" w:lineRule="atLeast"/>
      <w:ind w:firstLine="720"/>
      <w:jc w:val="center"/>
    </w:pPr>
    <w:rPr>
      <w:rFonts w:asciiTheme="minorAscii" w:hAnsiTheme="minorHAnsi"/>
      <w:b w:val="1"/>
      <w:sz w:val="23"/>
    </w:rPr>
  </w:style>
  <w:style w:styleId="Style_19_ch" w:type="character">
    <w:name w:val="Основной текст (5)"/>
    <w:basedOn w:val="Style_14_ch"/>
    <w:link w:val="Style_19"/>
    <w:rPr>
      <w:rFonts w:asciiTheme="minorAscii" w:hAnsiTheme="minorHAnsi"/>
      <w:b w:val="1"/>
      <w:sz w:val="23"/>
    </w:rPr>
  </w:style>
  <w:style w:styleId="Style_20" w:type="paragraph">
    <w:name w:val="WW8Num3z5"/>
    <w:link w:val="Style_20_ch"/>
  </w:style>
  <w:style w:styleId="Style_20_ch" w:type="character">
    <w:name w:val="WW8Num3z5"/>
    <w:link w:val="Style_20"/>
  </w:style>
  <w:style w:styleId="Style_21" w:type="paragraph">
    <w:name w:val="toc 6"/>
    <w:next w:val="Style_14"/>
    <w:link w:val="Style_21_ch"/>
    <w:uiPriority w:val="39"/>
    <w:pPr>
      <w:ind w:firstLine="0" w:left="1000"/>
      <w:jc w:val="left"/>
    </w:pPr>
    <w:rPr>
      <w:rFonts w:ascii="XO Thames" w:hAnsi="XO Thames"/>
    </w:rPr>
  </w:style>
  <w:style w:styleId="Style_21_ch" w:type="character">
    <w:name w:val="toc 6"/>
    <w:link w:val="Style_21"/>
    <w:rPr>
      <w:rFonts w:ascii="XO Thames" w:hAnsi="XO Thames"/>
    </w:rPr>
  </w:style>
  <w:style w:styleId="Style_22" w:type="paragraph">
    <w:name w:val="toc 7"/>
    <w:next w:val="Style_14"/>
    <w:link w:val="Style_22_ch"/>
    <w:uiPriority w:val="39"/>
    <w:pPr>
      <w:ind w:firstLine="0" w:left="1200"/>
      <w:jc w:val="left"/>
    </w:pPr>
    <w:rPr>
      <w:rFonts w:ascii="XO Thames" w:hAnsi="XO Thames"/>
    </w:rPr>
  </w:style>
  <w:style w:styleId="Style_22_ch" w:type="character">
    <w:name w:val="toc 7"/>
    <w:link w:val="Style_22"/>
    <w:rPr>
      <w:rFonts w:ascii="XO Thames" w:hAnsi="XO Thames"/>
    </w:rPr>
  </w:style>
  <w:style w:styleId="Style_9" w:type="paragraph">
    <w:name w:val="Body Text 2"/>
    <w:basedOn w:val="Style_14"/>
    <w:link w:val="Style_9_ch"/>
    <w:pPr>
      <w:spacing w:after="120" w:line="480" w:lineRule="auto"/>
      <w:ind/>
    </w:pPr>
  </w:style>
  <w:style w:styleId="Style_9_ch" w:type="character">
    <w:name w:val="Body Text 2"/>
    <w:basedOn w:val="Style_14_ch"/>
    <w:link w:val="Style_9"/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Обычный1"/>
    <w:link w:val="Style_24_ch"/>
    <w:rPr>
      <w:rFonts w:ascii="Calibri" w:hAnsi="Calibri"/>
      <w:sz w:val="22"/>
    </w:rPr>
  </w:style>
  <w:style w:styleId="Style_24_ch" w:type="character">
    <w:name w:val="Обычный1"/>
    <w:link w:val="Style_24"/>
    <w:rPr>
      <w:rFonts w:ascii="Calibri" w:hAnsi="Calibri"/>
      <w:sz w:val="22"/>
    </w:rPr>
  </w:style>
  <w:style w:styleId="Style_5" w:type="paragraph">
    <w:name w:val="No Spacing"/>
    <w:link w:val="Style_5_ch"/>
  </w:style>
  <w:style w:styleId="Style_5_ch" w:type="character">
    <w:name w:val="No Spacing"/>
    <w:link w:val="Style_5"/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ConsPlusNormal Знак"/>
    <w:link w:val="Style_26_ch"/>
    <w:rPr>
      <w:rFonts w:ascii="Arial" w:hAnsi="Arial"/>
      <w:sz w:val="22"/>
    </w:rPr>
  </w:style>
  <w:style w:styleId="Style_26_ch" w:type="character">
    <w:name w:val="ConsPlusNormal Знак"/>
    <w:link w:val="Style_26"/>
    <w:rPr>
      <w:rFonts w:ascii="Arial" w:hAnsi="Arial"/>
      <w:sz w:val="22"/>
    </w:rPr>
  </w:style>
  <w:style w:styleId="Style_27" w:type="paragraph">
    <w:name w:val="heading 3"/>
    <w:basedOn w:val="Style_14"/>
    <w:next w:val="Style_14"/>
    <w:link w:val="Style_27_ch"/>
    <w:uiPriority w:val="9"/>
    <w:qFormat/>
    <w:pPr>
      <w:keepNext w:val="1"/>
      <w:keepLines w:val="1"/>
      <w:spacing w:after="0" w:before="200" w:line="240" w:lineRule="auto"/>
      <w:ind w:firstLine="720"/>
      <w:jc w:val="both"/>
      <w:outlineLvl w:val="2"/>
    </w:pPr>
    <w:rPr>
      <w:rFonts w:asciiTheme="majorAscii" w:hAnsiTheme="majorHAnsi"/>
      <w:b w:val="1"/>
      <w:color w:themeColor="accent1" w:val="4F81BD"/>
    </w:rPr>
  </w:style>
  <w:style w:styleId="Style_27_ch" w:type="character">
    <w:name w:val="heading 3"/>
    <w:basedOn w:val="Style_14_ch"/>
    <w:link w:val="Style_27"/>
    <w:rPr>
      <w:rFonts w:asciiTheme="majorAscii" w:hAnsiTheme="majorHAnsi"/>
      <w:b w:val="1"/>
      <w:color w:themeColor="accent1" w:val="4F81BD"/>
    </w:rPr>
  </w:style>
  <w:style w:styleId="Style_28" w:type="paragraph">
    <w:name w:val="Обычный1"/>
    <w:link w:val="Style_28_ch"/>
    <w:rPr>
      <w:rFonts w:ascii="Calibri" w:hAnsi="Calibri"/>
      <w:sz w:val="22"/>
    </w:rPr>
  </w:style>
  <w:style w:styleId="Style_28_ch" w:type="character">
    <w:name w:val="Обычный1"/>
    <w:link w:val="Style_28"/>
    <w:rPr>
      <w:rFonts w:ascii="Calibri" w:hAnsi="Calibri"/>
      <w:sz w:val="22"/>
    </w:rPr>
  </w:style>
  <w:style w:styleId="Style_10" w:type="paragraph">
    <w:name w:val="Строгий1"/>
    <w:basedOn w:val="Style_29"/>
    <w:link w:val="Style_10_ch"/>
    <w:rPr>
      <w:b w:val="1"/>
    </w:rPr>
  </w:style>
  <w:style w:styleId="Style_10_ch" w:type="character">
    <w:name w:val="Строгий1"/>
    <w:basedOn w:val="Style_29_ch"/>
    <w:link w:val="Style_10"/>
    <w:rPr>
      <w:b w:val="1"/>
    </w:rPr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1" w:type="paragraph">
    <w:name w:val="heading 9"/>
    <w:basedOn w:val="Style_14"/>
    <w:next w:val="Style_14"/>
    <w:link w:val="Style_31_ch"/>
    <w:uiPriority w:val="9"/>
    <w:qFormat/>
    <w:pPr>
      <w:keepNext w:val="1"/>
      <w:keepLines w:val="1"/>
      <w:spacing w:after="0" w:before="200" w:line="240" w:lineRule="auto"/>
      <w:ind w:firstLine="720"/>
      <w:jc w:val="both"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31_ch" w:type="character">
    <w:name w:val="heading 9"/>
    <w:basedOn w:val="Style_14_ch"/>
    <w:link w:val="Style_31"/>
    <w:rPr>
      <w:rFonts w:asciiTheme="majorAscii" w:hAnsiTheme="majorHAnsi"/>
      <w:i w:val="1"/>
      <w:color w:themeColor="text1" w:themeTint="BF" w:val="404040"/>
      <w:sz w:val="20"/>
    </w:rPr>
  </w:style>
  <w:style w:styleId="Style_12" w:type="paragraph">
    <w:name w:val="Основной текст + 14 pt"/>
    <w:link w:val="Style_12_ch"/>
  </w:style>
  <w:style w:styleId="Style_12_ch" w:type="character">
    <w:name w:val="Основной текст + 14 pt"/>
    <w:link w:val="Style_12"/>
  </w:style>
  <w:style w:styleId="Style_32" w:type="paragraph">
    <w:name w:val="ConsPlusNonformat"/>
    <w:link w:val="Style_32_ch"/>
    <w:pPr>
      <w:widowControl w:val="0"/>
      <w:ind w:firstLine="0"/>
      <w:jc w:val="left"/>
    </w:pPr>
    <w:rPr>
      <w:rFonts w:ascii="Courier New" w:hAnsi="Courier New"/>
      <w:sz w:val="20"/>
    </w:rPr>
  </w:style>
  <w:style w:styleId="Style_32_ch" w:type="character">
    <w:name w:val="ConsPlusNonformat"/>
    <w:link w:val="Style_32"/>
    <w:rPr>
      <w:rFonts w:ascii="Courier New" w:hAnsi="Courier New"/>
      <w:sz w:val="20"/>
    </w:rPr>
  </w:style>
  <w:style w:styleId="Style_33" w:type="paragraph">
    <w:name w:val="WW-Базовый"/>
    <w:link w:val="Style_33_ch"/>
    <w:pPr>
      <w:tabs>
        <w:tab w:leader="none" w:pos="709" w:val="left"/>
      </w:tabs>
      <w:spacing w:line="276" w:lineRule="atLeast"/>
      <w:ind w:firstLine="0"/>
      <w:jc w:val="left"/>
    </w:pPr>
    <w:rPr>
      <w:rFonts w:ascii="Calibri" w:hAnsi="Calibri"/>
      <w:sz w:val="22"/>
    </w:rPr>
  </w:style>
  <w:style w:styleId="Style_33_ch" w:type="character">
    <w:name w:val="WW-Базовый"/>
    <w:link w:val="Style_33"/>
    <w:rPr>
      <w:rFonts w:ascii="Calibri" w:hAnsi="Calibri"/>
      <w:sz w:val="22"/>
    </w:rPr>
  </w:style>
  <w:style w:styleId="Style_34" w:type="paragraph">
    <w:name w:val="Слабое выделение1"/>
    <w:basedOn w:val="Style_29"/>
    <w:link w:val="Style_34_ch"/>
    <w:rPr>
      <w:i w:val="1"/>
      <w:color w:themeColor="text1" w:themeTint="7F" w:val="808080"/>
    </w:rPr>
  </w:style>
  <w:style w:styleId="Style_34_ch" w:type="character">
    <w:name w:val="Слабое выделение1"/>
    <w:basedOn w:val="Style_29_ch"/>
    <w:link w:val="Style_34"/>
    <w:rPr>
      <w:i w:val="1"/>
      <w:color w:themeColor="text1" w:themeTint="7F" w:val="808080"/>
    </w:rPr>
  </w:style>
  <w:style w:styleId="Style_35" w:type="paragraph">
    <w:name w:val="toc 3"/>
    <w:next w:val="Style_14"/>
    <w:link w:val="Style_35_ch"/>
    <w:uiPriority w:val="39"/>
    <w:pPr>
      <w:ind w:firstLine="0" w:left="400"/>
      <w:jc w:val="left"/>
    </w:pPr>
    <w:rPr>
      <w:rFonts w:ascii="XO Thames" w:hAnsi="XO Thames"/>
    </w:rPr>
  </w:style>
  <w:style w:styleId="Style_35_ch" w:type="character">
    <w:name w:val="toc 3"/>
    <w:link w:val="Style_35"/>
    <w:rPr>
      <w:rFonts w:ascii="XO Thames" w:hAnsi="XO Thames"/>
    </w:rPr>
  </w:style>
  <w:style w:styleId="Style_36" w:type="paragraph">
    <w:name w:val="Standard"/>
    <w:link w:val="Style_36_ch"/>
    <w:pPr>
      <w:ind w:firstLine="0"/>
      <w:jc w:val="left"/>
    </w:pPr>
    <w:rPr>
      <w:rFonts w:ascii="Liberation Serif" w:hAnsi="Liberation Serif"/>
      <w:sz w:val="24"/>
    </w:rPr>
  </w:style>
  <w:style w:styleId="Style_36_ch" w:type="character">
    <w:name w:val="Standard"/>
    <w:link w:val="Style_36"/>
    <w:rPr>
      <w:rFonts w:ascii="Liberation Serif" w:hAnsi="Liberation Serif"/>
      <w:sz w:val="24"/>
    </w:rPr>
  </w:style>
  <w:style w:styleId="Style_3" w:type="paragraph">
    <w:name w:val="Default"/>
    <w:link w:val="Style_3_ch"/>
    <w:pPr>
      <w:ind w:firstLine="0"/>
      <w:jc w:val="left"/>
    </w:pPr>
    <w:rPr>
      <w:rFonts w:ascii="Times New Roman" w:hAnsi="Times New Roman"/>
      <w:sz w:val="24"/>
    </w:rPr>
  </w:style>
  <w:style w:styleId="Style_3_ch" w:type="character">
    <w:name w:val="Default"/>
    <w:link w:val="Style_3"/>
    <w:rPr>
      <w:rFonts w:ascii="Times New Roman" w:hAnsi="Times New Roman"/>
      <w:sz w:val="24"/>
    </w:rPr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paragraph">
    <w:name w:val="Обычный1"/>
    <w:link w:val="Style_38_ch"/>
    <w:rPr>
      <w:rFonts w:ascii="Calibri" w:hAnsi="Calibri"/>
      <w:sz w:val="22"/>
    </w:rPr>
  </w:style>
  <w:style w:styleId="Style_38_ch" w:type="character">
    <w:name w:val="Обычный1"/>
    <w:link w:val="Style_38"/>
    <w:rPr>
      <w:rFonts w:ascii="Calibri" w:hAnsi="Calibri"/>
      <w:sz w:val="22"/>
    </w:rPr>
  </w:style>
  <w:style w:styleId="Style_39" w:type="paragraph">
    <w:name w:val="Гиперссылка4"/>
    <w:link w:val="Style_39_ch"/>
    <w:rPr>
      <w:color w:val="0000FF"/>
      <w:u w:val="single"/>
    </w:rPr>
  </w:style>
  <w:style w:styleId="Style_39_ch" w:type="character">
    <w:name w:val="Гиперссылка4"/>
    <w:link w:val="Style_39"/>
    <w:rPr>
      <w:color w:val="0000FF"/>
      <w:u w:val="single"/>
    </w:rPr>
  </w:style>
  <w:style w:styleId="Style_40" w:type="paragraph">
    <w:name w:val="Обычный1"/>
    <w:link w:val="Style_40_ch"/>
    <w:rPr>
      <w:rFonts w:ascii="Calibri" w:hAnsi="Calibri"/>
      <w:sz w:val="22"/>
    </w:rPr>
  </w:style>
  <w:style w:styleId="Style_40_ch" w:type="character">
    <w:name w:val="Обычный1"/>
    <w:link w:val="Style_40"/>
    <w:rPr>
      <w:rFonts w:ascii="Calibri" w:hAnsi="Calibri"/>
      <w:sz w:val="22"/>
    </w:rPr>
  </w:style>
  <w:style w:styleId="Style_8" w:type="paragraph">
    <w:name w:val="Гиперссылка1"/>
    <w:basedOn w:val="Style_29"/>
    <w:link w:val="Style_8_ch"/>
    <w:rPr>
      <w:color w:themeColor="hyperlink" w:val="0000FF"/>
      <w:u w:val="single"/>
    </w:rPr>
  </w:style>
  <w:style w:styleId="Style_8_ch" w:type="character">
    <w:name w:val="Гиперссылка1"/>
    <w:basedOn w:val="Style_29_ch"/>
    <w:link w:val="Style_8"/>
    <w:rPr>
      <w:color w:themeColor="hyperlink" w:val="0000FF"/>
      <w:u w:val="single"/>
    </w:rPr>
  </w:style>
  <w:style w:styleId="Style_41" w:type="paragraph">
    <w:name w:val="heading 5"/>
    <w:basedOn w:val="Style_14"/>
    <w:next w:val="Style_14"/>
    <w:link w:val="Style_41_ch"/>
    <w:uiPriority w:val="9"/>
    <w:qFormat/>
    <w:pPr>
      <w:keepNext w:val="1"/>
      <w:keepLines w:val="1"/>
      <w:spacing w:after="0" w:before="200" w:line="240" w:lineRule="auto"/>
      <w:ind w:firstLine="720"/>
      <w:jc w:val="both"/>
      <w:outlineLvl w:val="4"/>
    </w:pPr>
    <w:rPr>
      <w:rFonts w:asciiTheme="majorAscii" w:hAnsiTheme="majorHAnsi"/>
      <w:color w:themeColor="accent1" w:themeShade="7F" w:val="243F61"/>
    </w:rPr>
  </w:style>
  <w:style w:styleId="Style_41_ch" w:type="character">
    <w:name w:val="heading 5"/>
    <w:basedOn w:val="Style_14_ch"/>
    <w:link w:val="Style_41"/>
    <w:rPr>
      <w:rFonts w:asciiTheme="majorAscii" w:hAnsiTheme="majorHAnsi"/>
      <w:color w:themeColor="accent1" w:themeShade="7F" w:val="243F61"/>
    </w:rPr>
  </w:style>
  <w:style w:styleId="Style_42" w:type="paragraph">
    <w:name w:val="Body Text"/>
    <w:basedOn w:val="Style_14"/>
    <w:link w:val="Style_42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42_ch" w:type="character">
    <w:name w:val="Body Text"/>
    <w:basedOn w:val="Style_14_ch"/>
    <w:link w:val="Style_42"/>
    <w:rPr>
      <w:rFonts w:ascii="Times New Roman" w:hAnsi="Times New Roman"/>
      <w:sz w:val="28"/>
    </w:rPr>
  </w:style>
  <w:style w:styleId="Style_43" w:type="paragraph">
    <w:name w:val="caption"/>
    <w:basedOn w:val="Style_14"/>
    <w:link w:val="Style_43_ch"/>
    <w:pPr>
      <w:spacing w:after="120" w:before="120" w:line="240" w:lineRule="auto"/>
      <w:ind/>
    </w:pPr>
    <w:rPr>
      <w:rFonts w:ascii="Times New Roman" w:hAnsi="Times New Roman"/>
      <w:i w:val="1"/>
      <w:sz w:val="24"/>
    </w:rPr>
  </w:style>
  <w:style w:styleId="Style_43_ch" w:type="character">
    <w:name w:val="caption"/>
    <w:basedOn w:val="Style_14_ch"/>
    <w:link w:val="Style_43"/>
    <w:rPr>
      <w:rFonts w:ascii="Times New Roman" w:hAnsi="Times New Roman"/>
      <w:i w:val="1"/>
      <w:sz w:val="24"/>
    </w:rPr>
  </w:style>
  <w:style w:styleId="Style_44" w:type="paragraph">
    <w:name w:val="Font Style25"/>
    <w:link w:val="Style_44_ch"/>
    <w:rPr>
      <w:rFonts w:ascii="Times New Roman" w:hAnsi="Times New Roman"/>
      <w:b w:val="1"/>
      <w:sz w:val="26"/>
    </w:rPr>
  </w:style>
  <w:style w:styleId="Style_44_ch" w:type="character">
    <w:name w:val="Font Style25"/>
    <w:link w:val="Style_44"/>
    <w:rPr>
      <w:rFonts w:ascii="Times New Roman" w:hAnsi="Times New Roman"/>
      <w:b w:val="1"/>
      <w:sz w:val="26"/>
    </w:rPr>
  </w:style>
  <w:style w:styleId="Style_45" w:type="paragraph">
    <w:name w:val="heading 1"/>
    <w:basedOn w:val="Style_14"/>
    <w:next w:val="Style_14"/>
    <w:link w:val="Style_45_ch"/>
    <w:uiPriority w:val="9"/>
    <w:qFormat/>
    <w:pPr>
      <w:keepNext w:val="1"/>
      <w:keepLines w:val="1"/>
      <w:spacing w:after="0" w:before="480" w:line="240" w:lineRule="auto"/>
      <w:ind w:firstLine="720"/>
      <w:jc w:val="both"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45_ch" w:type="character">
    <w:name w:val="heading 1"/>
    <w:basedOn w:val="Style_14_ch"/>
    <w:link w:val="Style_45"/>
    <w:rPr>
      <w:rFonts w:asciiTheme="majorAscii" w:hAnsiTheme="majorHAnsi"/>
      <w:b w:val="1"/>
      <w:color w:themeColor="accent1" w:themeShade="BF" w:val="366091"/>
      <w:sz w:val="28"/>
    </w:rPr>
  </w:style>
  <w:style w:styleId="Style_46" w:type="paragraph">
    <w:name w:val="Основной текст + 111"/>
    <w:basedOn w:val="Style_29"/>
    <w:link w:val="Style_46_ch"/>
    <w:rPr>
      <w:rFonts w:ascii="Times New Roman" w:hAnsi="Times New Roman"/>
      <w:sz w:val="23"/>
      <w:highlight w:val="white"/>
    </w:rPr>
  </w:style>
  <w:style w:styleId="Style_46_ch" w:type="character">
    <w:name w:val="Основной текст + 111"/>
    <w:basedOn w:val="Style_29_ch"/>
    <w:link w:val="Style_46"/>
    <w:rPr>
      <w:rFonts w:ascii="Times New Roman" w:hAnsi="Times New Roman"/>
      <w:sz w:val="23"/>
      <w:highlight w:val="white"/>
    </w:rPr>
  </w:style>
  <w:style w:styleId="Style_13" w:type="paragraph">
    <w:name w:val="ConsPlusTitle"/>
    <w:link w:val="Style_13_ch"/>
    <w:pPr>
      <w:widowControl w:val="0"/>
      <w:ind w:firstLine="0"/>
      <w:jc w:val="left"/>
    </w:pPr>
    <w:rPr>
      <w:rFonts w:ascii="Calibri" w:hAnsi="Calibri"/>
      <w:b w:val="1"/>
      <w:sz w:val="22"/>
    </w:rPr>
  </w:style>
  <w:style w:styleId="Style_13_ch" w:type="character">
    <w:name w:val="ConsPlusTitle"/>
    <w:link w:val="Style_13"/>
    <w:rPr>
      <w:rFonts w:ascii="Calibri" w:hAnsi="Calibri"/>
      <w:b w:val="1"/>
      <w:sz w:val="22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heading 8"/>
    <w:basedOn w:val="Style_14"/>
    <w:next w:val="Style_14"/>
    <w:link w:val="Style_49_ch"/>
    <w:uiPriority w:val="9"/>
    <w:qFormat/>
    <w:pPr>
      <w:keepNext w:val="1"/>
      <w:keepLines w:val="1"/>
      <w:spacing w:after="0" w:before="200" w:line="240" w:lineRule="auto"/>
      <w:ind w:firstLine="720"/>
      <w:jc w:val="both"/>
      <w:outlineLvl w:val="7"/>
    </w:pPr>
    <w:rPr>
      <w:rFonts w:asciiTheme="majorAscii" w:hAnsiTheme="majorHAnsi"/>
      <w:color w:themeColor="text1" w:themeTint="BF" w:val="404040"/>
      <w:sz w:val="20"/>
    </w:rPr>
  </w:style>
  <w:style w:styleId="Style_49_ch" w:type="character">
    <w:name w:val="heading 8"/>
    <w:basedOn w:val="Style_14_ch"/>
    <w:link w:val="Style_49"/>
    <w:rPr>
      <w:rFonts w:asciiTheme="majorAscii" w:hAnsiTheme="majorHAnsi"/>
      <w:color w:themeColor="text1" w:themeTint="BF" w:val="404040"/>
      <w:sz w:val="20"/>
    </w:rPr>
  </w:style>
  <w:style w:styleId="Style_50" w:type="paragraph">
    <w:name w:val="toc 1"/>
    <w:next w:val="Style_14"/>
    <w:link w:val="Style_50_ch"/>
    <w:uiPriority w:val="39"/>
    <w:pPr>
      <w:ind w:firstLine="0"/>
      <w:jc w:val="left"/>
    </w:pPr>
    <w:rPr>
      <w:rFonts w:ascii="XO Thames" w:hAnsi="XO Thames"/>
      <w:b w:val="1"/>
    </w:rPr>
  </w:style>
  <w:style w:styleId="Style_50_ch" w:type="character">
    <w:name w:val="toc 1"/>
    <w:link w:val="Style_50"/>
    <w:rPr>
      <w:rFonts w:ascii="XO Thames" w:hAnsi="XO Thames"/>
      <w:b w:val="1"/>
    </w:rPr>
  </w:style>
  <w:style w:styleId="Style_51" w:type="paragraph">
    <w:name w:val="fontstyle01"/>
    <w:basedOn w:val="Style_29"/>
    <w:link w:val="Style_51_ch"/>
    <w:rPr>
      <w:rFonts w:ascii="Arial" w:hAnsi="Arial"/>
      <w:color w:val="FFFFFF"/>
      <w:sz w:val="32"/>
    </w:rPr>
  </w:style>
  <w:style w:styleId="Style_51_ch" w:type="character">
    <w:name w:val="fontstyle01"/>
    <w:basedOn w:val="Style_29_ch"/>
    <w:link w:val="Style_51"/>
    <w:rPr>
      <w:rFonts w:ascii="Arial" w:hAnsi="Arial"/>
      <w:color w:val="FFFFFF"/>
      <w:sz w:val="32"/>
    </w:rPr>
  </w:style>
  <w:style w:styleId="Style_52" w:type="paragraph">
    <w:name w:val="Header and Footer"/>
    <w:link w:val="Style_52_ch"/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Обычный1"/>
    <w:link w:val="Style_53_ch"/>
    <w:rPr>
      <w:rFonts w:ascii="Calibri" w:hAnsi="Calibri"/>
      <w:sz w:val="22"/>
    </w:rPr>
  </w:style>
  <w:style w:styleId="Style_53_ch" w:type="character">
    <w:name w:val="Обычный1"/>
    <w:link w:val="Style_53"/>
    <w:rPr>
      <w:rFonts w:ascii="Calibri" w:hAnsi="Calibri"/>
      <w:sz w:val="22"/>
    </w:rPr>
  </w:style>
  <w:style w:styleId="Style_54" w:type="paragraph">
    <w:name w:val="hgkelc"/>
    <w:basedOn w:val="Style_29"/>
    <w:link w:val="Style_54_ch"/>
  </w:style>
  <w:style w:styleId="Style_54_ch" w:type="character">
    <w:name w:val="hgkelc"/>
    <w:basedOn w:val="Style_29_ch"/>
    <w:link w:val="Style_54"/>
  </w:style>
  <w:style w:styleId="Style_55" w:type="paragraph">
    <w:name w:val="toc 9"/>
    <w:next w:val="Style_14"/>
    <w:link w:val="Style_55_ch"/>
    <w:uiPriority w:val="39"/>
    <w:pPr>
      <w:ind w:firstLine="0" w:left="1600"/>
      <w:jc w:val="left"/>
    </w:pPr>
    <w:rPr>
      <w:rFonts w:ascii="XO Thames" w:hAnsi="XO Thames"/>
    </w:rPr>
  </w:style>
  <w:style w:styleId="Style_55_ch" w:type="character">
    <w:name w:val="toc 9"/>
    <w:link w:val="Style_55"/>
    <w:rPr>
      <w:rFonts w:ascii="XO Thames" w:hAnsi="XO Thames"/>
    </w:rPr>
  </w:style>
  <w:style w:styleId="Style_56" w:type="paragraph">
    <w:name w:val="Body Text 21"/>
    <w:basedOn w:val="Style_14"/>
    <w:link w:val="Style_56_ch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styleId="Style_56_ch" w:type="character">
    <w:name w:val="Body Text 21"/>
    <w:basedOn w:val="Style_14_ch"/>
    <w:link w:val="Style_56"/>
    <w:rPr>
      <w:rFonts w:ascii="Times New Roman" w:hAnsi="Times New Roman"/>
      <w:sz w:val="24"/>
    </w:rPr>
  </w:style>
  <w:style w:styleId="Style_7" w:type="paragraph">
    <w:name w:val="List Paragraph"/>
    <w:basedOn w:val="Style_14"/>
    <w:link w:val="Style_7_ch"/>
    <w:pPr>
      <w:ind w:firstLine="0" w:left="720"/>
      <w:contextualSpacing w:val="1"/>
    </w:pPr>
  </w:style>
  <w:style w:styleId="Style_7_ch" w:type="character">
    <w:name w:val="List Paragraph"/>
    <w:basedOn w:val="Style_14_ch"/>
    <w:link w:val="Style_7"/>
  </w:style>
  <w:style w:styleId="Style_57" w:type="paragraph">
    <w:name w:val="toc 8"/>
    <w:next w:val="Style_14"/>
    <w:link w:val="Style_57_ch"/>
    <w:uiPriority w:val="39"/>
    <w:pPr>
      <w:ind w:firstLine="0" w:left="1400"/>
      <w:jc w:val="left"/>
    </w:pPr>
    <w:rPr>
      <w:rFonts w:ascii="XO Thames" w:hAnsi="XO Thames"/>
    </w:rPr>
  </w:style>
  <w:style w:styleId="Style_57_ch" w:type="character">
    <w:name w:val="toc 8"/>
    <w:link w:val="Style_57"/>
    <w:rPr>
      <w:rFonts w:ascii="XO Thames" w:hAnsi="XO Thames"/>
    </w:rPr>
  </w:style>
  <w:style w:styleId="Style_58" w:type="paragraph">
    <w:name w:val="Основной текст1"/>
    <w:basedOn w:val="Style_14"/>
    <w:link w:val="Style_58_ch"/>
    <w:pPr>
      <w:spacing w:after="1200" w:line="610" w:lineRule="exact"/>
      <w:ind/>
    </w:pPr>
    <w:rPr>
      <w:rFonts w:ascii="Times New Roman" w:hAnsi="Times New Roman"/>
      <w:sz w:val="26"/>
    </w:rPr>
  </w:style>
  <w:style w:styleId="Style_58_ch" w:type="character">
    <w:name w:val="Основной текст1"/>
    <w:basedOn w:val="Style_14_ch"/>
    <w:link w:val="Style_58"/>
    <w:rPr>
      <w:rFonts w:ascii="Times New Roman" w:hAnsi="Times New Roman"/>
      <w:sz w:val="26"/>
    </w:rPr>
  </w:style>
  <w:style w:styleId="Style_59" w:type="paragraph">
    <w:name w:val="Balloon Text"/>
    <w:basedOn w:val="Style_14"/>
    <w:link w:val="Style_59_ch"/>
    <w:pPr>
      <w:spacing w:after="0" w:line="240" w:lineRule="auto"/>
      <w:ind/>
    </w:pPr>
    <w:rPr>
      <w:rFonts w:ascii="Segoe UI" w:hAnsi="Segoe UI"/>
      <w:sz w:val="18"/>
    </w:rPr>
  </w:style>
  <w:style w:styleId="Style_59_ch" w:type="character">
    <w:name w:val="Balloon Text"/>
    <w:basedOn w:val="Style_14_ch"/>
    <w:link w:val="Style_59"/>
    <w:rPr>
      <w:rFonts w:ascii="Segoe UI" w:hAnsi="Segoe UI"/>
      <w:sz w:val="18"/>
    </w:rPr>
  </w:style>
  <w:style w:styleId="Style_1" w:type="paragraph">
    <w:name w:val="ConsPlusNormal"/>
    <w:link w:val="Style_1_ch"/>
    <w:pPr>
      <w:widowControl w:val="0"/>
      <w:ind w:firstLine="0"/>
      <w:jc w:val="left"/>
    </w:pPr>
    <w:rPr>
      <w:rFonts w:ascii="Arial" w:hAnsi="Arial"/>
      <w:sz w:val="22"/>
    </w:rPr>
  </w:style>
  <w:style w:styleId="Style_1_ch" w:type="character">
    <w:name w:val="ConsPlusNormal"/>
    <w:link w:val="Style_1"/>
    <w:rPr>
      <w:rFonts w:ascii="Arial" w:hAnsi="Arial"/>
      <w:sz w:val="22"/>
    </w:rPr>
  </w:style>
  <w:style w:styleId="Style_11" w:type="paragraph">
    <w:name w:val="Основной текст (2)"/>
    <w:basedOn w:val="Style_29"/>
    <w:link w:val="Style_11_ch"/>
    <w:rPr>
      <w:rFonts w:ascii="Times New Roman" w:hAnsi="Times New Roman"/>
      <w:sz w:val="21"/>
    </w:rPr>
  </w:style>
  <w:style w:styleId="Style_11_ch" w:type="character">
    <w:name w:val="Основной текст (2)"/>
    <w:basedOn w:val="Style_29_ch"/>
    <w:link w:val="Style_11"/>
    <w:rPr>
      <w:rFonts w:ascii="Times New Roman" w:hAnsi="Times New Roman"/>
      <w:sz w:val="21"/>
    </w:rPr>
  </w:style>
  <w:style w:styleId="Style_60" w:type="paragraph">
    <w:name w:val="toc 5"/>
    <w:next w:val="Style_14"/>
    <w:link w:val="Style_60_ch"/>
    <w:uiPriority w:val="39"/>
    <w:pPr>
      <w:ind w:firstLine="0" w:left="800"/>
      <w:jc w:val="left"/>
    </w:pPr>
    <w:rPr>
      <w:rFonts w:ascii="XO Thames" w:hAnsi="XO Thames"/>
    </w:rPr>
  </w:style>
  <w:style w:styleId="Style_60_ch" w:type="character">
    <w:name w:val="toc 5"/>
    <w:link w:val="Style_60"/>
    <w:rPr>
      <w:rFonts w:ascii="XO Thames" w:hAnsi="XO Thames"/>
    </w:rPr>
  </w:style>
  <w:style w:styleId="Style_61" w:type="paragraph">
    <w:name w:val="Основной шрифт абзаца3"/>
    <w:link w:val="Style_61_ch"/>
  </w:style>
  <w:style w:styleId="Style_61_ch" w:type="character">
    <w:name w:val="Основной шрифт абзаца3"/>
    <w:link w:val="Style_61"/>
  </w:style>
  <w:style w:styleId="Style_6" w:type="paragraph">
    <w:name w:val="Базовый"/>
    <w:link w:val="Style_6_ch"/>
    <w:pPr>
      <w:tabs>
        <w:tab w:leader="none" w:pos="709" w:val="left"/>
      </w:tabs>
      <w:spacing w:line="276" w:lineRule="atLeast"/>
      <w:ind w:firstLine="0"/>
      <w:jc w:val="left"/>
    </w:pPr>
    <w:rPr>
      <w:rFonts w:ascii="Calibri" w:hAnsi="Calibri"/>
      <w:sz w:val="22"/>
    </w:rPr>
  </w:style>
  <w:style w:styleId="Style_6_ch" w:type="character">
    <w:name w:val="Базовый"/>
    <w:link w:val="Style_6"/>
    <w:rPr>
      <w:rFonts w:ascii="Calibri" w:hAnsi="Calibri"/>
      <w:sz w:val="22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Обычный1"/>
    <w:link w:val="Style_63_ch"/>
    <w:rPr>
      <w:rFonts w:ascii="Calibri" w:hAnsi="Calibri"/>
      <w:sz w:val="22"/>
    </w:rPr>
  </w:style>
  <w:style w:styleId="Style_63_ch" w:type="character">
    <w:name w:val="Обычный1"/>
    <w:link w:val="Style_63"/>
    <w:rPr>
      <w:rFonts w:ascii="Calibri" w:hAnsi="Calibri"/>
      <w:sz w:val="22"/>
    </w:rPr>
  </w:style>
  <w:style w:styleId="Style_64" w:type="paragraph">
    <w:name w:val="Subtitle"/>
    <w:basedOn w:val="Style_14"/>
    <w:next w:val="Style_14"/>
    <w:link w:val="Style_64_ch"/>
    <w:uiPriority w:val="11"/>
    <w:qFormat/>
    <w:pPr>
      <w:numPr>
        <w:ilvl w:val="1"/>
      </w:numPr>
      <w:spacing w:after="0" w:line="240" w:lineRule="auto"/>
      <w:ind w:firstLine="709" w:left="4820"/>
      <w:jc w:val="both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64_ch" w:type="character">
    <w:name w:val="Subtitle"/>
    <w:basedOn w:val="Style_14_ch"/>
    <w:link w:val="Style_64"/>
    <w:rPr>
      <w:rFonts w:asciiTheme="majorAscii" w:hAnsiTheme="majorHAnsi"/>
      <w:i w:val="1"/>
      <w:color w:themeColor="accent1" w:val="4F81BD"/>
      <w:spacing w:val="15"/>
      <w:sz w:val="24"/>
    </w:rPr>
  </w:style>
  <w:style w:styleId="Style_65" w:type="paragraph">
    <w:name w:val="toc 10"/>
    <w:next w:val="Style_14"/>
    <w:link w:val="Style_65_ch"/>
    <w:uiPriority w:val="39"/>
    <w:pPr>
      <w:ind w:firstLine="0" w:left="1800"/>
      <w:jc w:val="left"/>
    </w:pPr>
    <w:rPr>
      <w:rFonts w:ascii="XO Thames" w:hAnsi="XO Thames"/>
    </w:rPr>
  </w:style>
  <w:style w:styleId="Style_65_ch" w:type="character">
    <w:name w:val="toc 10"/>
    <w:link w:val="Style_65"/>
    <w:rPr>
      <w:rFonts w:ascii="XO Thames" w:hAnsi="XO Thames"/>
    </w:rPr>
  </w:style>
  <w:style w:styleId="Style_66" w:type="paragraph">
    <w:name w:val="formattext"/>
    <w:basedOn w:val="Style_14"/>
    <w:link w:val="Style_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6_ch" w:type="character">
    <w:name w:val="formattext"/>
    <w:basedOn w:val="Style_14_ch"/>
    <w:link w:val="Style_66"/>
    <w:rPr>
      <w:rFonts w:ascii="Times New Roman" w:hAnsi="Times New Roman"/>
      <w:sz w:val="24"/>
    </w:rPr>
  </w:style>
  <w:style w:styleId="Style_67" w:type="paragraph">
    <w:name w:val="Title"/>
    <w:basedOn w:val="Style_14"/>
    <w:next w:val="Style_14"/>
    <w:link w:val="Style_67_ch"/>
    <w:uiPriority w:val="10"/>
    <w:qFormat/>
    <w:pPr>
      <w:spacing w:after="300" w:line="240" w:lineRule="auto"/>
      <w:ind w:firstLine="720"/>
      <w:contextualSpacing w:val="1"/>
      <w:jc w:val="both"/>
    </w:pPr>
    <w:rPr>
      <w:rFonts w:asciiTheme="majorAscii" w:hAnsiTheme="majorHAnsi"/>
      <w:color w:themeColor="text2" w:themeShade="BF" w:val="17365D"/>
      <w:spacing w:val="5"/>
      <w:sz w:val="52"/>
    </w:rPr>
  </w:style>
  <w:style w:styleId="Style_67_ch" w:type="character">
    <w:name w:val="Title"/>
    <w:basedOn w:val="Style_14_ch"/>
    <w:link w:val="Style_67"/>
    <w:rPr>
      <w:rFonts w:asciiTheme="majorAscii" w:hAnsiTheme="majorHAnsi"/>
      <w:color w:themeColor="text2" w:themeShade="BF" w:val="17365D"/>
      <w:spacing w:val="5"/>
      <w:sz w:val="52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heading 4"/>
    <w:basedOn w:val="Style_14"/>
    <w:next w:val="Style_14"/>
    <w:link w:val="Style_69_ch"/>
    <w:uiPriority w:val="9"/>
    <w:qFormat/>
    <w:pPr>
      <w:keepNext w:val="1"/>
      <w:keepLines w:val="1"/>
      <w:spacing w:after="0" w:before="200" w:line="240" w:lineRule="auto"/>
      <w:ind w:firstLine="720"/>
      <w:jc w:val="both"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69_ch" w:type="character">
    <w:name w:val="heading 4"/>
    <w:basedOn w:val="Style_14_ch"/>
    <w:link w:val="Style_69"/>
    <w:rPr>
      <w:rFonts w:asciiTheme="majorAscii" w:hAnsiTheme="majorHAnsi"/>
      <w:b w:val="1"/>
      <w:i w:val="1"/>
      <w:color w:themeColor="accent1" w:val="4F81BD"/>
    </w:rPr>
  </w:style>
  <w:style w:styleId="Style_70" w:type="paragraph">
    <w:name w:val="Гиперссылка3"/>
    <w:link w:val="Style_70_ch"/>
    <w:rPr>
      <w:color w:val="0000FF"/>
      <w:u w:val="single"/>
    </w:rPr>
  </w:style>
  <w:style w:styleId="Style_70_ch" w:type="character">
    <w:name w:val="Гиперссылка3"/>
    <w:link w:val="Style_70"/>
    <w:rPr>
      <w:color w:val="0000FF"/>
      <w:u w:val="single"/>
    </w:rPr>
  </w:style>
  <w:style w:styleId="Style_71" w:type="paragraph">
    <w:name w:val="heading 2"/>
    <w:basedOn w:val="Style_14"/>
    <w:next w:val="Style_14"/>
    <w:link w:val="Style_71_ch"/>
    <w:uiPriority w:val="9"/>
    <w:qFormat/>
    <w:pPr>
      <w:keepNext w:val="1"/>
      <w:keepLines w:val="1"/>
      <w:spacing w:after="0" w:before="200" w:line="240" w:lineRule="auto"/>
      <w:ind w:firstLine="720"/>
      <w:jc w:val="both"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71_ch" w:type="character">
    <w:name w:val="heading 2"/>
    <w:basedOn w:val="Style_14_ch"/>
    <w:link w:val="Style_71"/>
    <w:rPr>
      <w:rFonts w:asciiTheme="majorAscii" w:hAnsiTheme="majorHAnsi"/>
      <w:b w:val="1"/>
      <w:color w:themeColor="accent1" w:val="4F81BD"/>
      <w:sz w:val="26"/>
    </w:rPr>
  </w:style>
  <w:style w:styleId="Style_72" w:type="paragraph">
    <w:name w:val="heading 6"/>
    <w:basedOn w:val="Style_14"/>
    <w:next w:val="Style_14"/>
    <w:link w:val="Style_72_ch"/>
    <w:uiPriority w:val="9"/>
    <w:qFormat/>
    <w:pPr>
      <w:keepNext w:val="1"/>
      <w:keepLines w:val="1"/>
      <w:spacing w:after="0" w:before="200" w:line="240" w:lineRule="auto"/>
      <w:ind w:firstLine="720"/>
      <w:jc w:val="both"/>
      <w:outlineLvl w:val="5"/>
    </w:pPr>
    <w:rPr>
      <w:rFonts w:asciiTheme="majorAscii" w:hAnsiTheme="majorHAnsi"/>
      <w:i w:val="1"/>
      <w:color w:themeColor="accent1" w:themeShade="7F" w:val="243F61"/>
    </w:rPr>
  </w:style>
  <w:style w:styleId="Style_72_ch" w:type="character">
    <w:name w:val="heading 6"/>
    <w:basedOn w:val="Style_14_ch"/>
    <w:link w:val="Style_72"/>
    <w:rPr>
      <w:rFonts w:asciiTheme="majorAscii" w:hAnsiTheme="majorHAnsi"/>
      <w:i w:val="1"/>
      <w:color w:themeColor="accent1" w:themeShade="7F" w:val="243F61"/>
    </w:rPr>
  </w:style>
  <w:style w:styleId="Style_73" w:type="paragraph">
    <w:name w:val="Гиперссылка2"/>
    <w:link w:val="Style_73_ch"/>
    <w:rPr>
      <w:color w:val="0000FF"/>
      <w:u w:val="single"/>
    </w:rPr>
  </w:style>
  <w:style w:styleId="Style_73_ch" w:type="character">
    <w:name w:val="Гиперссылка2"/>
    <w:link w:val="Style_73"/>
    <w:rPr>
      <w:color w:val="0000FF"/>
      <w:u w:val="single"/>
    </w:rPr>
  </w:style>
  <w:style w:styleId="Style_74" w:type="paragraph">
    <w:name w:val="Выделение жирным"/>
    <w:link w:val="Style_74_ch"/>
    <w:rPr>
      <w:b w:val="1"/>
    </w:rPr>
  </w:style>
  <w:style w:styleId="Style_74_ch" w:type="character">
    <w:name w:val="Выделение жирным"/>
    <w:link w:val="Style_74"/>
    <w:rPr>
      <w:b w:val="1"/>
    </w:rPr>
  </w:style>
  <w:style w:styleId="Style_4" w:type="table">
    <w:name w:val="Table Grid"/>
    <w:basedOn w:val="Style_75"/>
    <w:pPr>
      <w:ind w:firstLine="0"/>
      <w:jc w:val="left"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2024-01-31T11:54:08Z</dcterms:modified>
</cp:coreProperties>
</file>