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ind w:left="11199" w:hanging="0"/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</w:pPr>
      <w:r>
        <w:rPr>
          <w:rFonts w:cs="Times New Roman" w:ascii="Times New Roman" w:hAnsi="Times New Roman"/>
          <w:color w:val="000000"/>
          <w:sz w:val="20"/>
          <w:szCs w:val="20"/>
          <w:lang w:eastAsia="ru-RU" w:bidi="ru-RU"/>
        </w:rPr>
        <w:t xml:space="preserve">Приложение № 1 </w:t>
      </w:r>
    </w:p>
    <w:p>
      <w:pPr>
        <w:pStyle w:val="Normal"/>
        <w:spacing w:before="0" w:after="0"/>
        <w:ind w:left="11199" w:right="284" w:hanging="0"/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</w:pPr>
      <w:r>
        <w:rPr>
          <w:rFonts w:cs="Times New Roman" w:ascii="Times New Roman" w:hAnsi="Times New Roman"/>
          <w:color w:val="000000"/>
          <w:sz w:val="20"/>
          <w:szCs w:val="20"/>
          <w:lang w:eastAsia="ru-RU" w:bidi="ru-RU"/>
        </w:rPr>
        <w:t xml:space="preserve">Утверждено приказом МКУ «УХО» города Курчатова </w:t>
      </w:r>
    </w:p>
    <w:p>
      <w:pPr>
        <w:pStyle w:val="Normal"/>
        <w:spacing w:before="0" w:after="0"/>
        <w:ind w:left="11199" w:right="284" w:hanging="0"/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</w:pPr>
      <w:r>
        <w:rPr>
          <w:rFonts w:cs="Times New Roman" w:ascii="Times New Roman" w:hAnsi="Times New Roman"/>
          <w:color w:val="000000"/>
          <w:sz w:val="20"/>
          <w:szCs w:val="20"/>
          <w:lang w:eastAsia="ru-RU" w:bidi="ru-RU"/>
        </w:rPr>
        <w:t>от_________________ №________</w:t>
      </w:r>
    </w:p>
    <w:p>
      <w:pPr>
        <w:pStyle w:val="Normal"/>
        <w:spacing w:before="0" w:after="0"/>
        <w:ind w:left="11199" w:right="284" w:hanging="0"/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</w:pPr>
      <w:r>
        <w:rPr>
          <w:rFonts w:cs="Times New Roman" w:ascii="Times New Roman" w:hAnsi="Times New Roman"/>
          <w:color w:val="000000"/>
          <w:sz w:val="20"/>
          <w:szCs w:val="20"/>
          <w:lang w:eastAsia="ru-RU" w:bidi="ru-RU"/>
        </w:rPr>
      </w:r>
    </w:p>
    <w:p>
      <w:pPr>
        <w:pStyle w:val="Normal"/>
        <w:spacing w:before="0" w:after="0"/>
        <w:ind w:left="11199" w:right="284" w:hanging="0"/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</w:pPr>
      <w:r>
        <w:rPr>
          <w:rFonts w:cs="Times New Roman" w:ascii="Times New Roman" w:hAnsi="Times New Roman"/>
          <w:color w:val="000000"/>
          <w:sz w:val="20"/>
          <w:szCs w:val="20"/>
          <w:lang w:eastAsia="ru-RU" w:bidi="ru-RU"/>
        </w:rPr>
      </w:r>
    </w:p>
    <w:p>
      <w:pPr>
        <w:pStyle w:val="Bodytext31"/>
        <w:shd w:val="clear" w:color="auto" w:fill="auto"/>
        <w:spacing w:lineRule="exact" w:line="264"/>
        <w:ind w:right="300" w:hanging="0"/>
        <w:jc w:val="center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КАРТА КОМПЛАЕНС-РИСКОВ</w:t>
        <w:br/>
      </w:r>
      <w:r>
        <w:rPr>
          <w:rFonts w:eastAsia="Times New Roman" w:cs="Times New Roman"/>
          <w:b/>
          <w:bCs/>
          <w:color w:val="000000"/>
          <w:lang w:eastAsia="ru-RU" w:bidi="ru-RU"/>
        </w:rPr>
        <w:t>МКУ «УХО»</w:t>
      </w:r>
      <w:r>
        <w:rPr>
          <w:color w:val="000000"/>
          <w:lang w:eastAsia="ru-RU" w:bidi="ru-RU"/>
        </w:rPr>
        <w:t xml:space="preserve"> города Курчатова </w:t>
      </w:r>
    </w:p>
    <w:p>
      <w:pPr>
        <w:pStyle w:val="Bodytext31"/>
        <w:shd w:val="clear" w:color="auto" w:fill="auto"/>
        <w:spacing w:lineRule="exact" w:line="264"/>
        <w:ind w:right="300" w:hanging="0"/>
        <w:jc w:val="center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</w:r>
    </w:p>
    <w:tbl>
      <w:tblPr>
        <w:tblStyle w:val="a3"/>
        <w:tblW w:w="1541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33"/>
        <w:gridCol w:w="2268"/>
        <w:gridCol w:w="2269"/>
        <w:gridCol w:w="3117"/>
        <w:gridCol w:w="3827"/>
        <w:gridCol w:w="1844"/>
        <w:gridCol w:w="1558"/>
      </w:tblGrid>
      <w:tr>
        <w:trPr/>
        <w:tc>
          <w:tcPr>
            <w:tcW w:w="533" w:type="dxa"/>
            <w:tcBorders/>
          </w:tcPr>
          <w:p>
            <w:pPr>
              <w:pStyle w:val="Bodytext31"/>
              <w:widowControl w:val="false"/>
              <w:shd w:val="clear" w:color="auto" w:fill="auto"/>
              <w:suppressAutoHyphens w:val="true"/>
              <w:spacing w:lineRule="exact" w:line="264" w:before="0" w:after="0"/>
              <w:ind w:left="-142" w:right="-108" w:hanging="0"/>
              <w:jc w:val="center"/>
              <w:rPr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kern w:val="0"/>
                <w:sz w:val="22"/>
                <w:szCs w:val="22"/>
                <w:lang w:val="ru-RU" w:eastAsia="en-US" w:bidi="ar-SA"/>
              </w:rPr>
              <w:t xml:space="preserve">№ </w:t>
            </w:r>
            <w:r>
              <w:rPr>
                <w:kern w:val="0"/>
                <w:sz w:val="22"/>
                <w:szCs w:val="22"/>
                <w:lang w:val="ru-RU" w:eastAsia="en-US" w:bidi="ar-SA"/>
              </w:rPr>
              <w:t>п/п</w:t>
            </w:r>
          </w:p>
        </w:tc>
        <w:tc>
          <w:tcPr>
            <w:tcW w:w="2268" w:type="dxa"/>
            <w:tcBorders/>
          </w:tcPr>
          <w:p>
            <w:pPr>
              <w:pStyle w:val="Bodytext31"/>
              <w:widowControl w:val="false"/>
              <w:shd w:val="clear" w:color="auto" w:fill="auto"/>
              <w:suppressAutoHyphens w:val="true"/>
              <w:spacing w:lineRule="exact" w:line="264" w:before="0" w:after="0"/>
              <w:ind w:right="18" w:hanging="0"/>
              <w:jc w:val="center"/>
              <w:rPr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kern w:val="0"/>
                <w:sz w:val="22"/>
                <w:szCs w:val="22"/>
                <w:lang w:val="ru-RU" w:eastAsia="en-US" w:bidi="ar-SA"/>
              </w:rPr>
              <w:t>Выявленные риски нарушения антимонопольного законодательства</w:t>
            </w:r>
          </w:p>
        </w:tc>
        <w:tc>
          <w:tcPr>
            <w:tcW w:w="2269" w:type="dxa"/>
            <w:tcBorders/>
          </w:tcPr>
          <w:p>
            <w:pPr>
              <w:pStyle w:val="Bodytext31"/>
              <w:widowControl w:val="false"/>
              <w:shd w:val="clear" w:color="auto" w:fill="auto"/>
              <w:suppressAutoHyphens w:val="true"/>
              <w:spacing w:lineRule="exact" w:line="264" w:before="0" w:after="0"/>
              <w:jc w:val="center"/>
              <w:rPr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kern w:val="0"/>
                <w:sz w:val="22"/>
                <w:szCs w:val="22"/>
                <w:lang w:val="ru-RU" w:eastAsia="en-US" w:bidi="ar-SA"/>
              </w:rPr>
              <w:t>Описание рисков</w:t>
            </w:r>
          </w:p>
        </w:tc>
        <w:tc>
          <w:tcPr>
            <w:tcW w:w="3117" w:type="dxa"/>
            <w:tcBorders/>
          </w:tcPr>
          <w:p>
            <w:pPr>
              <w:pStyle w:val="Bodytext31"/>
              <w:widowControl w:val="false"/>
              <w:shd w:val="clear" w:color="auto" w:fill="auto"/>
              <w:suppressAutoHyphens w:val="true"/>
              <w:spacing w:lineRule="exact" w:line="264" w:before="0" w:after="0"/>
              <w:jc w:val="center"/>
              <w:rPr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kern w:val="0"/>
                <w:sz w:val="22"/>
                <w:szCs w:val="22"/>
                <w:lang w:val="ru-RU" w:eastAsia="en-US" w:bidi="ar-SA"/>
              </w:rPr>
              <w:t>Причины возникновения рисков и их оценка</w:t>
            </w:r>
          </w:p>
        </w:tc>
        <w:tc>
          <w:tcPr>
            <w:tcW w:w="3827" w:type="dxa"/>
            <w:tcBorders/>
          </w:tcPr>
          <w:p>
            <w:pPr>
              <w:pStyle w:val="Bodytext31"/>
              <w:widowControl w:val="false"/>
              <w:shd w:val="clear" w:color="auto" w:fill="auto"/>
              <w:suppressAutoHyphens w:val="true"/>
              <w:spacing w:lineRule="exact" w:line="264" w:before="0" w:after="0"/>
              <w:ind w:right="300" w:hanging="0"/>
              <w:jc w:val="center"/>
              <w:rPr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kern w:val="0"/>
                <w:sz w:val="22"/>
                <w:szCs w:val="22"/>
                <w:lang w:val="ru-RU" w:eastAsia="en-US" w:bidi="ar-SA"/>
              </w:rPr>
              <w:t>Мероприятия по минимизации и устранению рисков</w:t>
            </w:r>
          </w:p>
        </w:tc>
        <w:tc>
          <w:tcPr>
            <w:tcW w:w="1844" w:type="dxa"/>
            <w:tcBorders/>
          </w:tcPr>
          <w:p>
            <w:pPr>
              <w:pStyle w:val="Bodytext31"/>
              <w:widowControl w:val="false"/>
              <w:shd w:val="clear" w:fill="FFFFFF"/>
              <w:suppressAutoHyphens w:val="true"/>
              <w:spacing w:lineRule="exact" w:line="264" w:before="0" w:after="0"/>
              <w:ind w:right="-108" w:hanging="0"/>
              <w:jc w:val="center"/>
              <w:rPr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kern w:val="0"/>
                <w:sz w:val="22"/>
                <w:szCs w:val="22"/>
                <w:lang w:val="ru-RU" w:eastAsia="en-US" w:bidi="ar-SA"/>
              </w:rPr>
              <w:t>Наличие</w:t>
            </w:r>
          </w:p>
          <w:p>
            <w:pPr>
              <w:pStyle w:val="Bodytext31"/>
              <w:widowControl w:val="false"/>
              <w:shd w:val="clear" w:fill="FFFFFF"/>
              <w:suppressAutoHyphens w:val="true"/>
              <w:spacing w:lineRule="exact" w:line="264" w:before="0" w:after="0"/>
              <w:ind w:right="-108" w:hanging="0"/>
              <w:jc w:val="center"/>
              <w:rPr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kern w:val="0"/>
                <w:sz w:val="22"/>
                <w:szCs w:val="22"/>
                <w:lang w:val="ru-RU" w:eastAsia="en-US" w:bidi="ar-SA"/>
              </w:rPr>
              <w:t>(отсутствие)</w:t>
            </w:r>
          </w:p>
          <w:p>
            <w:pPr>
              <w:pStyle w:val="Bodytext31"/>
              <w:widowControl w:val="false"/>
              <w:shd w:val="clear" w:fill="FFFFFF"/>
              <w:suppressAutoHyphens w:val="true"/>
              <w:spacing w:lineRule="exact" w:line="264" w:before="0" w:after="0"/>
              <w:ind w:right="-108" w:hanging="0"/>
              <w:jc w:val="center"/>
              <w:rPr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kern w:val="0"/>
                <w:sz w:val="22"/>
                <w:szCs w:val="22"/>
                <w:lang w:val="ru-RU" w:eastAsia="en-US" w:bidi="ar-SA"/>
              </w:rPr>
              <w:t>остаточных</w:t>
            </w:r>
          </w:p>
          <w:p>
            <w:pPr>
              <w:pStyle w:val="Bodytext31"/>
              <w:widowControl w:val="false"/>
              <w:shd w:val="clear" w:color="auto" w:fill="auto"/>
              <w:suppressAutoHyphens w:val="true"/>
              <w:spacing w:lineRule="exact" w:line="264" w:before="0" w:after="0"/>
              <w:ind w:right="-108" w:hanging="0"/>
              <w:jc w:val="center"/>
              <w:rPr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kern w:val="0"/>
                <w:sz w:val="22"/>
                <w:szCs w:val="22"/>
                <w:lang w:val="ru-RU" w:eastAsia="en-US" w:bidi="ar-SA"/>
              </w:rPr>
              <w:t>рисков</w:t>
            </w:r>
          </w:p>
        </w:tc>
        <w:tc>
          <w:tcPr>
            <w:tcW w:w="1558" w:type="dxa"/>
            <w:tcBorders/>
          </w:tcPr>
          <w:p>
            <w:pPr>
              <w:pStyle w:val="Bodytext31"/>
              <w:widowControl w:val="false"/>
              <w:shd w:val="clear" w:color="auto" w:fill="auto"/>
              <w:suppressAutoHyphens w:val="true"/>
              <w:spacing w:lineRule="exact" w:line="264" w:before="0" w:after="0"/>
              <w:jc w:val="center"/>
              <w:rPr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kern w:val="0"/>
                <w:sz w:val="22"/>
                <w:szCs w:val="22"/>
                <w:lang w:val="ru-RU" w:eastAsia="en-US" w:bidi="ar-SA"/>
              </w:rPr>
              <w:t xml:space="preserve">Вероятность </w:t>
            </w:r>
            <w:bookmarkStart w:id="0" w:name="_GoBack"/>
            <w:bookmarkEnd w:id="0"/>
            <w:r>
              <w:rPr>
                <w:kern w:val="0"/>
                <w:sz w:val="22"/>
                <w:szCs w:val="22"/>
                <w:lang w:val="ru-RU" w:eastAsia="en-US" w:bidi="ar-SA"/>
              </w:rPr>
              <w:t>повторного возникновения рисков</w:t>
            </w:r>
          </w:p>
        </w:tc>
      </w:tr>
      <w:tr>
        <w:trPr/>
        <w:tc>
          <w:tcPr>
            <w:tcW w:w="533" w:type="dxa"/>
            <w:tcBorders/>
          </w:tcPr>
          <w:p>
            <w:pPr>
              <w:pStyle w:val="Bodytext31"/>
              <w:widowControl w:val="false"/>
              <w:shd w:val="clear" w:color="auto" w:fill="auto"/>
              <w:suppressAutoHyphens w:val="true"/>
              <w:spacing w:lineRule="exact" w:line="264" w:before="0" w:after="0"/>
              <w:ind w:right="300" w:hanging="0"/>
              <w:jc w:val="center"/>
              <w:rPr>
                <w:b w:val="false"/>
                <w:b w:val="false"/>
              </w:rPr>
            </w:pPr>
            <w:r>
              <w:rPr>
                <w:b w:val="false"/>
                <w:kern w:val="0"/>
                <w:sz w:val="22"/>
                <w:szCs w:val="22"/>
                <w:lang w:val="ru-RU" w:eastAsia="en-US" w:bidi="ar-SA"/>
              </w:rPr>
              <w:t>1</w:t>
            </w:r>
          </w:p>
        </w:tc>
        <w:tc>
          <w:tcPr>
            <w:tcW w:w="2268" w:type="dxa"/>
            <w:tcBorders/>
          </w:tcPr>
          <w:p>
            <w:pPr>
              <w:pStyle w:val="Bodytext31"/>
              <w:widowControl w:val="false"/>
              <w:shd w:val="clear" w:color="auto" w:fill="auto"/>
              <w:suppressAutoHyphens w:val="true"/>
              <w:spacing w:lineRule="exact" w:line="264" w:before="0" w:after="0"/>
              <w:ind w:right="-108" w:hanging="0"/>
              <w:jc w:val="left"/>
              <w:rPr>
                <w:b w:val="false"/>
                <w:b w:val="false"/>
              </w:rPr>
            </w:pPr>
            <w:r>
              <w:rPr>
                <w:b w:val="false"/>
                <w:kern w:val="0"/>
                <w:sz w:val="22"/>
                <w:szCs w:val="22"/>
                <w:lang w:val="ru-RU" w:eastAsia="en-US" w:bidi="ar-SA"/>
              </w:rPr>
              <w:t>Действия, которые приводят или могут привести к недопущению, ограничению или устранению конкуренции, предусмотренные статьей 17 Федерального закона №135-Ф3 от 26.07.2006</w:t>
            </w:r>
          </w:p>
        </w:tc>
        <w:tc>
          <w:tcPr>
            <w:tcW w:w="2269" w:type="dxa"/>
            <w:tcBorders/>
          </w:tcPr>
          <w:p>
            <w:pPr>
              <w:pStyle w:val="Bodytext31"/>
              <w:widowControl w:val="false"/>
              <w:shd w:val="clear" w:fill="FFFFFF"/>
              <w:suppressAutoHyphens w:val="true"/>
              <w:spacing w:lineRule="exact" w:line="264" w:before="0" w:after="0"/>
              <w:ind w:right="-40" w:hanging="0"/>
              <w:jc w:val="left"/>
              <w:rPr>
                <w:b w:val="false"/>
                <w:b w:val="false"/>
              </w:rPr>
            </w:pPr>
            <w:r>
              <w:rPr>
                <w:b w:val="false"/>
                <w:kern w:val="0"/>
                <w:sz w:val="22"/>
                <w:szCs w:val="22"/>
                <w:lang w:val="ru-RU" w:eastAsia="en-US" w:bidi="ar-SA"/>
              </w:rPr>
              <w:t>Наличие норм в проектах правовых актов, создающих преимущественные или</w:t>
            </w:r>
          </w:p>
          <w:p>
            <w:pPr>
              <w:pStyle w:val="Normal"/>
              <w:widowControl w:val="false"/>
              <w:suppressAutoHyphens w:val="true"/>
              <w:spacing w:lineRule="exact" w:line="245" w:before="0" w:after="0"/>
              <w:ind w:right="-4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дискриминационные условия для отдельных категорий хозяйствующих</w:t>
            </w: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Style w:val="Bodytext21"/>
                <w:rFonts w:eastAsia="Calibri" w:eastAsiaTheme="minorHAnsi"/>
                <w:kern w:val="0"/>
                <w:sz w:val="22"/>
                <w:szCs w:val="22"/>
                <w:lang w:val="ru-RU" w:eastAsia="en-US" w:bidi="ar-SA"/>
              </w:rPr>
              <w:t>субъектов при</w:t>
            </w:r>
          </w:p>
          <w:p>
            <w:pPr>
              <w:pStyle w:val="Normal"/>
              <w:widowControl w:val="false"/>
              <w:suppressAutoHyphens w:val="true"/>
              <w:spacing w:lineRule="exact" w:line="245" w:before="0" w:after="0"/>
              <w:ind w:right="-4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Style w:val="Bodytext21"/>
                <w:rFonts w:eastAsia="Calibri" w:eastAsiaTheme="minorHAnsi"/>
                <w:kern w:val="0"/>
                <w:sz w:val="22"/>
                <w:szCs w:val="22"/>
                <w:lang w:val="ru-RU" w:eastAsia="en-US" w:bidi="ar-SA"/>
              </w:rPr>
              <w:t>осуществлении</w:t>
            </w:r>
          </w:p>
          <w:p>
            <w:pPr>
              <w:pStyle w:val="Normal"/>
              <w:widowControl w:val="false"/>
              <w:suppressAutoHyphens w:val="true"/>
              <w:spacing w:lineRule="exact" w:line="245" w:before="0" w:after="0"/>
              <w:ind w:right="-4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Style w:val="Bodytext21"/>
                <w:rFonts w:eastAsia="Calibri" w:eastAsiaTheme="minorHAnsi"/>
                <w:kern w:val="0"/>
                <w:sz w:val="22"/>
                <w:szCs w:val="22"/>
                <w:lang w:val="ru-RU" w:eastAsia="en-US" w:bidi="ar-SA"/>
              </w:rPr>
              <w:t>деятельности</w:t>
            </w:r>
          </w:p>
          <w:p>
            <w:pPr>
              <w:pStyle w:val="Normal"/>
              <w:widowControl w:val="false"/>
              <w:suppressAutoHyphens w:val="true"/>
              <w:spacing w:lineRule="exact" w:line="245" w:before="0" w:after="0"/>
              <w:ind w:right="-40" w:hanging="0"/>
              <w:jc w:val="left"/>
              <w:rPr/>
            </w:pPr>
            <w:r>
              <w:rPr>
                <w:rStyle w:val="Bodytext21"/>
                <w:rFonts w:eastAsia="Calibri" w:cs="" w:ascii="Times New Roman" w:hAnsi="Times New Roman" w:eastAsiaTheme="minorHAnsi"/>
                <w:kern w:val="0"/>
                <w:sz w:val="22"/>
                <w:szCs w:val="22"/>
                <w:lang w:val="ru-RU" w:eastAsia="en-US" w:bidi="ar-SA"/>
              </w:rPr>
              <w:t>МКУ «УХО» города Курчатова</w:t>
            </w:r>
          </w:p>
        </w:tc>
        <w:tc>
          <w:tcPr>
            <w:tcW w:w="3117" w:type="dxa"/>
            <w:tcBorders/>
          </w:tcPr>
          <w:p>
            <w:pPr>
              <w:pStyle w:val="Bodytext31"/>
              <w:widowControl w:val="false"/>
              <w:shd w:val="clear" w:fill="FFFFFF"/>
              <w:suppressAutoHyphens w:val="true"/>
              <w:spacing w:lineRule="exact" w:line="264" w:before="0" w:after="0"/>
              <w:ind w:right="300" w:hanging="0"/>
              <w:jc w:val="left"/>
              <w:rPr>
                <w:b w:val="false"/>
                <w:b w:val="false"/>
              </w:rPr>
            </w:pPr>
            <w:r>
              <w:rPr>
                <w:b w:val="false"/>
                <w:kern w:val="0"/>
                <w:sz w:val="22"/>
                <w:szCs w:val="22"/>
                <w:lang w:val="ru-RU" w:eastAsia="en-US" w:bidi="ar-SA"/>
              </w:rPr>
              <w:t>1. Установление субъективного порядка оценки заявок.</w:t>
            </w:r>
          </w:p>
          <w:p>
            <w:pPr>
              <w:pStyle w:val="Bodytext31"/>
              <w:widowControl w:val="false"/>
              <w:shd w:val="clear" w:fill="FFFFFF"/>
              <w:suppressAutoHyphens w:val="true"/>
              <w:spacing w:lineRule="exact" w:line="264" w:before="0" w:after="0"/>
              <w:jc w:val="left"/>
              <w:rPr>
                <w:b w:val="false"/>
                <w:b w:val="false"/>
              </w:rPr>
            </w:pPr>
            <w:r>
              <w:rPr>
                <w:b w:val="false"/>
                <w:kern w:val="0"/>
                <w:sz w:val="22"/>
                <w:szCs w:val="22"/>
                <w:lang w:val="ru-RU" w:eastAsia="en-US" w:bidi="ar-SA"/>
              </w:rPr>
              <w:t>2. Создание участникам закупок преимущественных условий для участия в торгах, в том числе доступ к информации.</w:t>
            </w:r>
          </w:p>
          <w:p>
            <w:pPr>
              <w:pStyle w:val="Bodytext31"/>
              <w:widowControl w:val="false"/>
              <w:shd w:val="clear" w:color="auto" w:fill="auto"/>
              <w:suppressAutoHyphens w:val="true"/>
              <w:spacing w:lineRule="exact" w:line="264" w:before="0" w:after="0"/>
              <w:jc w:val="left"/>
              <w:rPr>
                <w:b w:val="false"/>
                <w:b w:val="false"/>
              </w:rPr>
            </w:pPr>
            <w:r>
              <w:rPr>
                <w:b w:val="false"/>
                <w:kern w:val="0"/>
                <w:sz w:val="22"/>
                <w:szCs w:val="22"/>
                <w:lang w:val="ru-RU" w:eastAsia="en-US" w:bidi="ar-SA"/>
              </w:rPr>
              <w:t>3. Включение в состав  лотов товаров, работ, услуг технологически и функционально не связанных с товарами, работами, услугами, поставки выполнение, оказание которых предусмотрено предметом закупки.</w:t>
            </w:r>
          </w:p>
        </w:tc>
        <w:tc>
          <w:tcPr>
            <w:tcW w:w="3827" w:type="dxa"/>
            <w:tcBorders/>
          </w:tcPr>
          <w:p>
            <w:pPr>
              <w:pStyle w:val="Bodytext31"/>
              <w:widowControl w:val="false"/>
              <w:shd w:val="clear" w:fill="FFFFFF"/>
              <w:suppressAutoHyphens w:val="true"/>
              <w:spacing w:lineRule="exact" w:line="264" w:before="0" w:after="0"/>
              <w:jc w:val="left"/>
              <w:rPr>
                <w:b w:val="false"/>
                <w:b w:val="false"/>
              </w:rPr>
            </w:pPr>
            <w:r>
              <w:rPr>
                <w:b w:val="false"/>
                <w:kern w:val="0"/>
                <w:sz w:val="22"/>
                <w:szCs w:val="22"/>
                <w:lang w:val="ru-RU" w:eastAsia="en-US" w:bidi="ar-SA"/>
              </w:rPr>
              <w:t>1. Правовая экспертиза проекта документации о закупке. Использование типовых критериев оценки заявок.</w:t>
            </w:r>
          </w:p>
          <w:p>
            <w:pPr>
              <w:pStyle w:val="Bodytext31"/>
              <w:widowControl w:val="false"/>
              <w:shd w:val="clear" w:color="auto" w:fill="auto"/>
              <w:suppressAutoHyphens w:val="true"/>
              <w:spacing w:lineRule="exact" w:line="264" w:before="0" w:after="0"/>
              <w:ind w:right="-22" w:hanging="0"/>
              <w:jc w:val="left"/>
              <w:rPr>
                <w:b w:val="false"/>
                <w:b w:val="false"/>
              </w:rPr>
            </w:pPr>
            <w:r>
              <w:rPr>
                <w:b w:val="false"/>
                <w:kern w:val="0"/>
                <w:sz w:val="22"/>
                <w:szCs w:val="22"/>
                <w:lang w:val="ru-RU" w:eastAsia="en-US" w:bidi="ar-SA"/>
              </w:rPr>
              <w:t>2. Информирование муниципальных служащих об ответственности за несоблюдение антимонопольного законодательства.</w:t>
            </w:r>
          </w:p>
          <w:p>
            <w:pPr>
              <w:pStyle w:val="Bodytext31"/>
              <w:widowControl w:val="false"/>
              <w:shd w:val="clear" w:color="auto" w:fill="auto"/>
              <w:suppressAutoHyphens w:val="true"/>
              <w:spacing w:lineRule="exact" w:line="264" w:before="0" w:after="0"/>
              <w:ind w:right="-22" w:hanging="0"/>
              <w:jc w:val="left"/>
              <w:rPr>
                <w:b w:val="false"/>
                <w:b w:val="false"/>
              </w:rPr>
            </w:pPr>
            <w:r>
              <w:rPr>
                <w:b w:val="false"/>
                <w:kern w:val="0"/>
                <w:sz w:val="22"/>
                <w:szCs w:val="22"/>
                <w:lang w:val="ru-RU" w:eastAsia="en-US" w:bidi="ar-SA"/>
              </w:rPr>
              <w:t>3. Тщательная проработка технических заданий документации о закупке. Правовая экспертиза проекта документации о закупке</w:t>
            </w:r>
          </w:p>
        </w:tc>
        <w:tc>
          <w:tcPr>
            <w:tcW w:w="1844" w:type="dxa"/>
            <w:tcBorders/>
          </w:tcPr>
          <w:p>
            <w:pPr>
              <w:pStyle w:val="Bodytext31"/>
              <w:widowControl w:val="false"/>
              <w:shd w:val="clear" w:fill="FFFFFF"/>
              <w:suppressAutoHyphens w:val="true"/>
              <w:spacing w:lineRule="exact" w:line="264" w:before="0" w:after="0"/>
              <w:ind w:right="300" w:hanging="0"/>
              <w:jc w:val="left"/>
              <w:rPr>
                <w:b w:val="false"/>
                <w:b w:val="false"/>
              </w:rPr>
            </w:pPr>
            <w:r>
              <w:rPr>
                <w:b w:val="false"/>
                <w:kern w:val="0"/>
                <w:sz w:val="22"/>
                <w:szCs w:val="22"/>
                <w:lang w:val="ru-RU" w:eastAsia="en-US" w:bidi="ar-SA"/>
              </w:rPr>
              <w:t>Риск</w:t>
            </w:r>
          </w:p>
          <w:p>
            <w:pPr>
              <w:pStyle w:val="Bodytext31"/>
              <w:widowControl w:val="false"/>
              <w:shd w:val="clear" w:fill="FFFFFF"/>
              <w:tabs>
                <w:tab w:val="clear" w:pos="708"/>
                <w:tab w:val="left" w:pos="1485" w:leader="none"/>
              </w:tabs>
              <w:suppressAutoHyphens w:val="true"/>
              <w:spacing w:lineRule="exact" w:line="264" w:before="0" w:after="0"/>
              <w:ind w:right="-108" w:hanging="0"/>
              <w:jc w:val="left"/>
              <w:rPr>
                <w:b w:val="false"/>
                <w:b w:val="false"/>
              </w:rPr>
            </w:pPr>
            <w:r>
              <w:rPr>
                <w:b w:val="false"/>
                <w:kern w:val="0"/>
                <w:sz w:val="22"/>
                <w:szCs w:val="22"/>
                <w:lang w:val="ru-RU" w:eastAsia="en-US" w:bidi="ar-SA"/>
              </w:rPr>
              <w:t>присутствует.</w:t>
            </w:r>
          </w:p>
        </w:tc>
        <w:tc>
          <w:tcPr>
            <w:tcW w:w="1558" w:type="dxa"/>
            <w:tcBorders/>
          </w:tcPr>
          <w:p>
            <w:pPr>
              <w:pStyle w:val="Bodytext31"/>
              <w:widowControl w:val="false"/>
              <w:shd w:val="clear" w:color="auto" w:fill="auto"/>
              <w:suppressAutoHyphens w:val="true"/>
              <w:spacing w:lineRule="exact" w:line="264" w:before="0" w:after="0"/>
              <w:ind w:right="-142" w:hanging="0"/>
              <w:jc w:val="left"/>
              <w:rPr>
                <w:b w:val="false"/>
                <w:b w:val="false"/>
              </w:rPr>
            </w:pPr>
            <w:r>
              <w:rPr>
                <w:b w:val="false"/>
                <w:kern w:val="0"/>
                <w:sz w:val="22"/>
                <w:szCs w:val="22"/>
                <w:lang w:val="ru-RU" w:eastAsia="en-US" w:bidi="ar-SA"/>
              </w:rPr>
              <w:t>Минимальная</w:t>
            </w:r>
          </w:p>
        </w:tc>
      </w:tr>
      <w:tr>
        <w:trPr/>
        <w:tc>
          <w:tcPr>
            <w:tcW w:w="533" w:type="dxa"/>
            <w:tcBorders/>
          </w:tcPr>
          <w:p>
            <w:pPr>
              <w:pStyle w:val="Bodytext31"/>
              <w:widowControl w:val="false"/>
              <w:shd w:val="clear" w:color="auto" w:fill="auto"/>
              <w:suppressAutoHyphens w:val="true"/>
              <w:spacing w:lineRule="exact" w:line="264" w:before="0" w:after="0"/>
              <w:ind w:right="300" w:hanging="0"/>
              <w:jc w:val="center"/>
              <w:rPr>
                <w:b w:val="false"/>
                <w:b w:val="false"/>
              </w:rPr>
            </w:pPr>
            <w:r>
              <w:rPr>
                <w:b w:val="false"/>
                <w:kern w:val="0"/>
                <w:sz w:val="22"/>
                <w:szCs w:val="22"/>
                <w:lang w:val="ru-RU" w:eastAsia="en-US" w:bidi="ar-SA"/>
              </w:rPr>
              <w:t>2</w:t>
            </w:r>
          </w:p>
        </w:tc>
        <w:tc>
          <w:tcPr>
            <w:tcW w:w="2268" w:type="dxa"/>
            <w:tcBorders/>
          </w:tcPr>
          <w:p>
            <w:pPr>
              <w:pStyle w:val="Bodytext31"/>
              <w:widowControl w:val="false"/>
              <w:shd w:val="clear" w:color="auto" w:fill="auto"/>
              <w:tabs>
                <w:tab w:val="clear" w:pos="708"/>
                <w:tab w:val="left" w:pos="2052" w:leader="none"/>
              </w:tabs>
              <w:suppressAutoHyphens w:val="true"/>
              <w:spacing w:lineRule="exact" w:line="264" w:before="0" w:after="0"/>
              <w:ind w:right="-108" w:hanging="0"/>
              <w:jc w:val="left"/>
              <w:rPr>
                <w:b w:val="false"/>
                <w:b w:val="false"/>
              </w:rPr>
            </w:pPr>
            <w:r>
              <w:rPr>
                <w:b w:val="false"/>
                <w:kern w:val="0"/>
                <w:sz w:val="22"/>
                <w:szCs w:val="22"/>
                <w:lang w:val="ru-RU" w:eastAsia="en-US" w:bidi="ar-SA"/>
              </w:rPr>
              <w:t>Нарушение антимонопольного законодательства при осуществлении закупок товаров, работ, услуг для обеспечения муниципальных нужд</w:t>
            </w:r>
          </w:p>
        </w:tc>
        <w:tc>
          <w:tcPr>
            <w:tcW w:w="2269" w:type="dxa"/>
            <w:tcBorders/>
          </w:tcPr>
          <w:p>
            <w:pPr>
              <w:pStyle w:val="Bodytext31"/>
              <w:widowControl w:val="false"/>
              <w:shd w:val="clear" w:color="auto" w:fill="auto"/>
              <w:suppressAutoHyphens w:val="true"/>
              <w:spacing w:lineRule="exact" w:line="264" w:before="0" w:after="0"/>
              <w:ind w:right="-108" w:hanging="0"/>
              <w:jc w:val="left"/>
              <w:rPr>
                <w:b w:val="false"/>
                <w:b w:val="false"/>
              </w:rPr>
            </w:pPr>
            <w:r>
              <w:rPr>
                <w:b w:val="false"/>
                <w:kern w:val="0"/>
                <w:sz w:val="22"/>
                <w:szCs w:val="22"/>
                <w:lang w:val="ru-RU" w:eastAsia="en-US" w:bidi="ar-SA"/>
              </w:rPr>
              <w:t>Осуществление закупок товаров, работ, услуг для обеспечения муниципальных нужд с нарушением требований антимонопольного законодательства</w:t>
            </w:r>
          </w:p>
        </w:tc>
        <w:tc>
          <w:tcPr>
            <w:tcW w:w="3117" w:type="dxa"/>
            <w:tcBorders/>
          </w:tcPr>
          <w:p>
            <w:pPr>
              <w:pStyle w:val="Bodytext31"/>
              <w:widowControl w:val="false"/>
              <w:shd w:val="clear" w:fill="FFFFFF"/>
              <w:tabs>
                <w:tab w:val="clear" w:pos="708"/>
                <w:tab w:val="left" w:pos="2761" w:leader="none"/>
              </w:tabs>
              <w:suppressAutoHyphens w:val="true"/>
              <w:spacing w:lineRule="exact" w:line="264" w:before="0" w:after="0"/>
              <w:jc w:val="left"/>
              <w:rPr>
                <w:b w:val="false"/>
                <w:b w:val="false"/>
              </w:rPr>
            </w:pPr>
            <w:r>
              <w:rPr>
                <w:b w:val="false"/>
                <w:kern w:val="0"/>
                <w:sz w:val="22"/>
                <w:szCs w:val="22"/>
                <w:lang w:val="ru-RU" w:eastAsia="en-US" w:bidi="ar-SA"/>
              </w:rPr>
              <w:t>1. Отсутствие достаточной квалификации сотрудников, осуществляющих подготовку и проведение закупки;</w:t>
            </w:r>
          </w:p>
          <w:p>
            <w:pPr>
              <w:pStyle w:val="Bodytext31"/>
              <w:widowControl w:val="false"/>
              <w:shd w:val="clear" w:fill="FFFFFF"/>
              <w:suppressAutoHyphens w:val="true"/>
              <w:spacing w:lineRule="exact" w:line="264" w:before="0" w:after="0"/>
              <w:jc w:val="left"/>
              <w:rPr>
                <w:b w:val="false"/>
                <w:b w:val="false"/>
              </w:rPr>
            </w:pPr>
            <w:r>
              <w:rPr>
                <w:b w:val="false"/>
                <w:kern w:val="0"/>
                <w:sz w:val="22"/>
                <w:szCs w:val="22"/>
                <w:lang w:val="ru-RU" w:eastAsia="en-US" w:bidi="ar-SA"/>
              </w:rPr>
              <w:t>2. Нарушение порядка и сроков размещения документации о закупке.</w:t>
            </w:r>
          </w:p>
          <w:p>
            <w:pPr>
              <w:pStyle w:val="Bodytext31"/>
              <w:widowControl w:val="false"/>
              <w:shd w:val="clear" w:color="auto" w:fill="auto"/>
              <w:suppressAutoHyphens w:val="true"/>
              <w:spacing w:lineRule="exact" w:line="264" w:before="0" w:after="0"/>
              <w:jc w:val="left"/>
              <w:rPr>
                <w:b w:val="false"/>
                <w:b w:val="false"/>
              </w:rPr>
            </w:pPr>
            <w:r>
              <w:rPr>
                <w:b w:val="false"/>
                <w:kern w:val="0"/>
                <w:sz w:val="22"/>
                <w:szCs w:val="22"/>
                <w:lang w:val="ru-RU" w:eastAsia="en-US" w:bidi="ar-SA"/>
              </w:rPr>
              <w:t>3. Отсутствие разъяснений уполномоченного органа по вопросам проведения закупок.</w:t>
            </w:r>
          </w:p>
        </w:tc>
        <w:tc>
          <w:tcPr>
            <w:tcW w:w="3827" w:type="dxa"/>
            <w:tcBorders/>
          </w:tcPr>
          <w:p>
            <w:pPr>
              <w:pStyle w:val="Bodytext31"/>
              <w:widowControl w:val="false"/>
              <w:shd w:val="clear" w:fill="FFFFFF"/>
              <w:suppressAutoHyphens w:val="true"/>
              <w:spacing w:lineRule="exact" w:line="264" w:before="0" w:after="0"/>
              <w:ind w:right="-108" w:hanging="0"/>
              <w:jc w:val="left"/>
              <w:rPr>
                <w:b w:val="false"/>
                <w:b w:val="false"/>
              </w:rPr>
            </w:pPr>
            <w:r>
              <w:rPr>
                <w:b w:val="false"/>
                <w:kern w:val="0"/>
                <w:sz w:val="22"/>
                <w:szCs w:val="22"/>
                <w:lang w:val="ru-RU" w:eastAsia="en-US" w:bidi="ar-SA"/>
              </w:rPr>
              <w:t>1. Повышение квалификации сотрудников, ответственных за проведение закупок;</w:t>
            </w:r>
          </w:p>
          <w:p>
            <w:pPr>
              <w:pStyle w:val="Bodytext31"/>
              <w:widowControl w:val="false"/>
              <w:shd w:val="clear" w:fill="FFFFFF"/>
              <w:suppressAutoHyphens w:val="true"/>
              <w:spacing w:lineRule="exact" w:line="264" w:before="0" w:after="0"/>
              <w:ind w:right="-108" w:hanging="0"/>
              <w:jc w:val="left"/>
              <w:rPr>
                <w:b w:val="false"/>
                <w:b w:val="false"/>
              </w:rPr>
            </w:pPr>
            <w:r>
              <w:rPr>
                <w:b w:val="false"/>
                <w:kern w:val="0"/>
                <w:sz w:val="22"/>
                <w:szCs w:val="22"/>
                <w:lang w:val="ru-RU" w:eastAsia="en-US" w:bidi="ar-SA"/>
              </w:rPr>
              <w:t>2. Проведение мониторинга и анализа практики применения антимонопольного законодательства;</w:t>
            </w:r>
          </w:p>
          <w:p>
            <w:pPr>
              <w:pStyle w:val="Bodytext31"/>
              <w:widowControl w:val="false"/>
              <w:shd w:val="clear" w:fill="FFFFFF"/>
              <w:suppressAutoHyphens w:val="true"/>
              <w:spacing w:lineRule="exact" w:line="264" w:before="0" w:after="0"/>
              <w:ind w:right="-108" w:hanging="0"/>
              <w:jc w:val="left"/>
              <w:rPr>
                <w:b w:val="false"/>
                <w:b w:val="false"/>
              </w:rPr>
            </w:pPr>
            <w:r>
              <w:rPr>
                <w:b w:val="false"/>
                <w:kern w:val="0"/>
                <w:sz w:val="22"/>
                <w:szCs w:val="22"/>
                <w:lang w:val="ru-RU" w:eastAsia="en-US" w:bidi="ar-SA"/>
              </w:rPr>
              <w:t>3. Контроль за соблюдением требований законодательства в сфере закупок;</w:t>
            </w:r>
          </w:p>
          <w:p>
            <w:pPr>
              <w:pStyle w:val="Bodytext31"/>
              <w:widowControl w:val="false"/>
              <w:shd w:val="clear" w:fill="FFFFFF"/>
              <w:tabs>
                <w:tab w:val="clear" w:pos="708"/>
                <w:tab w:val="left" w:pos="2903" w:leader="none"/>
              </w:tabs>
              <w:suppressAutoHyphens w:val="true"/>
              <w:spacing w:lineRule="exact" w:line="264" w:before="0" w:after="0"/>
              <w:ind w:right="-108" w:hanging="0"/>
              <w:jc w:val="left"/>
              <w:rPr>
                <w:b w:val="false"/>
                <w:b w:val="false"/>
              </w:rPr>
            </w:pPr>
            <w:r>
              <w:rPr>
                <w:b w:val="false"/>
                <w:kern w:val="0"/>
                <w:sz w:val="22"/>
                <w:szCs w:val="22"/>
                <w:lang w:val="ru-RU" w:eastAsia="en-US" w:bidi="ar-SA"/>
              </w:rPr>
              <w:t>4. Проведение мероприятий по предотвращению конфликта интересов муниципальных служащих, в чьи должностные обязанности входят полномочия по проведению закупок товаров, работ, услуг;</w:t>
            </w:r>
          </w:p>
          <w:p>
            <w:pPr>
              <w:pStyle w:val="Bodytext31"/>
              <w:widowControl w:val="false"/>
              <w:shd w:val="clear" w:color="auto" w:fill="auto"/>
              <w:suppressAutoHyphens w:val="true"/>
              <w:spacing w:lineRule="exact" w:line="264" w:before="0" w:after="0"/>
              <w:ind w:right="-108" w:hanging="0"/>
              <w:jc w:val="left"/>
              <w:rPr>
                <w:b w:val="false"/>
                <w:b w:val="false"/>
              </w:rPr>
            </w:pPr>
            <w:r>
              <w:rPr>
                <w:b w:val="false"/>
                <w:kern w:val="0"/>
                <w:sz w:val="22"/>
                <w:szCs w:val="22"/>
                <w:lang w:val="ru-RU" w:eastAsia="en-US" w:bidi="ar-SA"/>
              </w:rPr>
              <w:t>5. Ознакомление муниципальных служащих с нормативными правовыми актами в сфере антимонопольного законодательства.</w:t>
            </w:r>
          </w:p>
        </w:tc>
        <w:tc>
          <w:tcPr>
            <w:tcW w:w="1844" w:type="dxa"/>
            <w:tcBorders/>
          </w:tcPr>
          <w:p>
            <w:pPr>
              <w:pStyle w:val="Bodytext31"/>
              <w:widowControl w:val="false"/>
              <w:shd w:val="clear" w:fill="FFFFFF"/>
              <w:suppressAutoHyphens w:val="true"/>
              <w:spacing w:lineRule="exact" w:line="264" w:before="0" w:after="0"/>
              <w:ind w:right="300" w:hanging="0"/>
              <w:jc w:val="left"/>
              <w:rPr>
                <w:b w:val="false"/>
                <w:b w:val="false"/>
              </w:rPr>
            </w:pPr>
            <w:r>
              <w:rPr>
                <w:b w:val="false"/>
                <w:kern w:val="0"/>
                <w:sz w:val="22"/>
                <w:szCs w:val="22"/>
                <w:lang w:val="ru-RU" w:eastAsia="en-US" w:bidi="ar-SA"/>
              </w:rPr>
              <w:t>Риск</w:t>
            </w:r>
          </w:p>
          <w:p>
            <w:pPr>
              <w:pStyle w:val="Bodytext31"/>
              <w:widowControl w:val="false"/>
              <w:shd w:val="clear" w:fill="FFFFFF"/>
              <w:suppressAutoHyphens w:val="true"/>
              <w:spacing w:lineRule="exact" w:line="264" w:before="0" w:after="0"/>
              <w:ind w:right="-108" w:hanging="0"/>
              <w:jc w:val="left"/>
              <w:rPr>
                <w:b w:val="false"/>
                <w:b w:val="false"/>
              </w:rPr>
            </w:pPr>
            <w:r>
              <w:rPr>
                <w:b w:val="false"/>
                <w:kern w:val="0"/>
                <w:sz w:val="22"/>
                <w:szCs w:val="22"/>
                <w:lang w:val="ru-RU" w:eastAsia="en-US" w:bidi="ar-SA"/>
              </w:rPr>
              <w:t>Присутствует.</w:t>
            </w:r>
          </w:p>
          <w:p>
            <w:pPr>
              <w:pStyle w:val="Bodytext31"/>
              <w:widowControl w:val="false"/>
              <w:shd w:val="clear" w:color="auto" w:fill="auto"/>
              <w:suppressAutoHyphens w:val="true"/>
              <w:spacing w:lineRule="exact" w:line="264" w:before="0" w:after="0"/>
              <w:ind w:right="300" w:hanging="0"/>
              <w:jc w:val="left"/>
              <w:rPr>
                <w:b w:val="false"/>
                <w:b w:val="false"/>
              </w:rPr>
            </w:pPr>
            <w:r>
              <w:rPr>
                <w:b w:val="false"/>
              </w:rPr>
            </w:r>
          </w:p>
        </w:tc>
        <w:tc>
          <w:tcPr>
            <w:tcW w:w="1558" w:type="dxa"/>
            <w:tcBorders/>
          </w:tcPr>
          <w:p>
            <w:pPr>
              <w:pStyle w:val="Bodytext31"/>
              <w:widowControl w:val="false"/>
              <w:shd w:val="clear" w:color="auto" w:fill="auto"/>
              <w:tabs>
                <w:tab w:val="clear" w:pos="708"/>
                <w:tab w:val="left" w:pos="1593" w:leader="none"/>
              </w:tabs>
              <w:suppressAutoHyphens w:val="true"/>
              <w:spacing w:lineRule="exact" w:line="264" w:before="0" w:after="0"/>
              <w:ind w:right="-142" w:hanging="0"/>
              <w:jc w:val="left"/>
              <w:rPr>
                <w:b w:val="false"/>
                <w:b w:val="false"/>
              </w:rPr>
            </w:pPr>
            <w:r>
              <w:rPr>
                <w:b w:val="false"/>
                <w:kern w:val="0"/>
                <w:sz w:val="22"/>
                <w:szCs w:val="22"/>
                <w:lang w:val="ru-RU" w:eastAsia="en-US" w:bidi="ar-SA"/>
              </w:rPr>
              <w:t>Минимальная</w:t>
            </w:r>
          </w:p>
        </w:tc>
      </w:tr>
      <w:tr>
        <w:trPr/>
        <w:tc>
          <w:tcPr>
            <w:tcW w:w="533" w:type="dxa"/>
            <w:tcBorders/>
          </w:tcPr>
          <w:p>
            <w:pPr>
              <w:pStyle w:val="Bodytext31"/>
              <w:widowControl w:val="false"/>
              <w:shd w:val="clear" w:color="auto" w:fill="auto"/>
              <w:suppressAutoHyphens w:val="true"/>
              <w:spacing w:lineRule="exact" w:line="264" w:before="0" w:after="0"/>
              <w:ind w:right="300" w:hanging="0"/>
              <w:jc w:val="center"/>
              <w:rPr>
                <w:b w:val="false"/>
                <w:b w:val="false"/>
              </w:rPr>
            </w:pPr>
            <w:r>
              <w:rPr>
                <w:b w:val="false"/>
                <w:kern w:val="0"/>
                <w:sz w:val="22"/>
                <w:szCs w:val="22"/>
                <w:lang w:val="ru-RU" w:eastAsia="en-US" w:bidi="ar-SA"/>
              </w:rPr>
              <w:t>3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 w:val="false"/>
              <w:suppressAutoHyphens w:val="true"/>
              <w:spacing w:lineRule="exact" w:line="240" w:before="0" w:after="360"/>
              <w:jc w:val="left"/>
              <w:rPr/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shd w:fill="FFFF00" w:val="clear"/>
                <w:lang w:val="ru-RU" w:eastAsia="en-US" w:bidi="ar-SA"/>
              </w:rPr>
              <w:t>Нарушение антимонопольного законодательства при подготовке ответов на обращения граждан и</w:t>
            </w: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shd w:fill="FFFF00" w:val="clear"/>
                <w:lang w:val="ru-RU" w:eastAsia="en-US" w:bidi="ar-SA"/>
              </w:rPr>
              <w:t xml:space="preserve"> </w:t>
            </w:r>
            <w:r>
              <w:rPr>
                <w:rStyle w:val="Bodytext21"/>
                <w:rFonts w:eastAsia="Calibri" w:eastAsiaTheme="minorHAnsi"/>
                <w:kern w:val="0"/>
                <w:sz w:val="22"/>
                <w:szCs w:val="22"/>
                <w:shd w:fill="FFFF00" w:val="clear"/>
                <w:lang w:val="ru-RU" w:eastAsia="en-US" w:bidi="ar-SA"/>
              </w:rPr>
              <w:t>юридических лиц (риск ранее не возникал)</w:t>
            </w:r>
          </w:p>
        </w:tc>
        <w:tc>
          <w:tcPr>
            <w:tcW w:w="2269" w:type="dxa"/>
            <w:tcBorders/>
          </w:tcPr>
          <w:p>
            <w:pPr>
              <w:pStyle w:val="Bodytext31"/>
              <w:widowControl w:val="false"/>
              <w:shd w:val="clear" w:color="auto" w:fill="auto"/>
              <w:suppressAutoHyphens w:val="true"/>
              <w:spacing w:lineRule="exact" w:line="264" w:before="0" w:after="0"/>
              <w:ind w:right="-108" w:hanging="0"/>
              <w:jc w:val="left"/>
              <w:rPr>
                <w:b w:val="false"/>
                <w:b w:val="false"/>
                <w:kern w:val="0"/>
                <w:sz w:val="22"/>
                <w:szCs w:val="22"/>
                <w:shd w:fill="FFFF00" w:val="clear"/>
                <w:lang w:val="ru-RU" w:eastAsia="en-US" w:bidi="ar-SA"/>
              </w:rPr>
            </w:pPr>
            <w:r>
              <w:rPr>
                <w:b w:val="false"/>
                <w:kern w:val="0"/>
                <w:sz w:val="22"/>
                <w:szCs w:val="22"/>
                <w:shd w:fill="FFFF00" w:val="clear"/>
                <w:lang w:val="ru-RU" w:eastAsia="en-US" w:bidi="ar-SA"/>
              </w:rPr>
              <w:t>Нарушение сроков рассмотрения обращений граждан и юридических лиц; необоснованное затягивание процесса при принятии решений, связанных с реализацией прав граждан или юридических лиц, решение вопроса во внеочередном порядке в отношении отдельного физического или юридического лица при наличии значительного числа очередных</w:t>
            </w:r>
          </w:p>
        </w:tc>
        <w:tc>
          <w:tcPr>
            <w:tcW w:w="3117" w:type="dxa"/>
            <w:tcBorders/>
          </w:tcPr>
          <w:p>
            <w:pPr>
              <w:pStyle w:val="Bodytext31"/>
              <w:widowControl w:val="false"/>
              <w:shd w:val="clear" w:fill="FFFFFF"/>
              <w:tabs>
                <w:tab w:val="clear" w:pos="708"/>
                <w:tab w:val="left" w:pos="3010" w:leader="none"/>
              </w:tabs>
              <w:suppressAutoHyphens w:val="true"/>
              <w:spacing w:lineRule="exact" w:line="264" w:before="0" w:after="0"/>
              <w:ind w:right="-108" w:hanging="0"/>
              <w:jc w:val="left"/>
              <w:rPr>
                <w:b w:val="false"/>
                <w:b w:val="false"/>
                <w:kern w:val="0"/>
                <w:sz w:val="22"/>
                <w:szCs w:val="22"/>
                <w:shd w:fill="FFFF00" w:val="clear"/>
                <w:lang w:val="ru-RU" w:eastAsia="en-US" w:bidi="ar-SA"/>
              </w:rPr>
            </w:pPr>
            <w:r>
              <w:rPr>
                <w:b w:val="false"/>
                <w:kern w:val="0"/>
                <w:sz w:val="22"/>
                <w:szCs w:val="22"/>
                <w:shd w:fill="FFFF00" w:val="clear"/>
                <w:lang w:val="ru-RU" w:eastAsia="en-US" w:bidi="ar-SA"/>
              </w:rPr>
              <w:t>1. Недостаточный уровень квалификации муниципальных служащих администрации города Курчатова Курской области, в чьи должностные обязанности входят полномочия по рассмотрению обращений граждан и юридических лиц.</w:t>
            </w:r>
          </w:p>
          <w:p>
            <w:pPr>
              <w:pStyle w:val="Bodytext31"/>
              <w:widowControl w:val="false"/>
              <w:shd w:val="clear" w:color="auto" w:fill="auto"/>
              <w:tabs>
                <w:tab w:val="clear" w:pos="708"/>
                <w:tab w:val="left" w:pos="3010" w:leader="none"/>
              </w:tabs>
              <w:suppressAutoHyphens w:val="true"/>
              <w:spacing w:lineRule="exact" w:line="264" w:before="0" w:after="0"/>
              <w:ind w:right="-108" w:hanging="0"/>
              <w:jc w:val="left"/>
              <w:rPr>
                <w:b w:val="false"/>
                <w:b w:val="false"/>
                <w:kern w:val="0"/>
                <w:sz w:val="22"/>
                <w:szCs w:val="22"/>
                <w:shd w:fill="FFFF00" w:val="clear"/>
                <w:lang w:val="ru-RU" w:eastAsia="en-US" w:bidi="ar-SA"/>
              </w:rPr>
            </w:pPr>
            <w:r>
              <w:rPr>
                <w:b w:val="false"/>
                <w:kern w:val="0"/>
                <w:sz w:val="22"/>
                <w:szCs w:val="22"/>
                <w:shd w:fill="FFFF00" w:val="clear"/>
                <w:lang w:val="ru-RU" w:eastAsia="en-US" w:bidi="ar-SA"/>
              </w:rPr>
              <w:t>2. Влияние субъективных факторов (эмоциональное восприятие информации, личная заинтересованность в результатах рассмотрения обращения гражданина или юридического лица, иных обстоятельств) на рассмотрение обращений граждан и юридических лиц</w:t>
            </w:r>
          </w:p>
        </w:tc>
        <w:tc>
          <w:tcPr>
            <w:tcW w:w="3827" w:type="dxa"/>
            <w:tcBorders/>
          </w:tcPr>
          <w:p>
            <w:pPr>
              <w:pStyle w:val="Bodytext31"/>
              <w:widowControl w:val="false"/>
              <w:shd w:val="clear" w:color="auto" w:fill="auto"/>
              <w:tabs>
                <w:tab w:val="clear" w:pos="708"/>
                <w:tab w:val="left" w:pos="3611" w:leader="none"/>
              </w:tabs>
              <w:suppressAutoHyphens w:val="true"/>
              <w:spacing w:lineRule="exact" w:line="264" w:before="0" w:after="0"/>
              <w:ind w:right="-108" w:hanging="0"/>
              <w:jc w:val="left"/>
              <w:rPr>
                <w:b w:val="false"/>
                <w:b w:val="false"/>
                <w:kern w:val="0"/>
                <w:sz w:val="22"/>
                <w:szCs w:val="22"/>
                <w:shd w:fill="FFFF00" w:val="clear"/>
                <w:lang w:val="ru-RU" w:eastAsia="en-US" w:bidi="ar-SA"/>
              </w:rPr>
            </w:pPr>
            <w:r>
              <w:rPr>
                <w:b w:val="false"/>
                <w:kern w:val="0"/>
                <w:sz w:val="22"/>
                <w:szCs w:val="22"/>
                <w:shd w:fill="FFFF00" w:val="clear"/>
                <w:lang w:val="ru-RU" w:eastAsia="en-US" w:bidi="ar-SA"/>
              </w:rPr>
              <w:t>1. Проведение анализа нарушений требований Федерального закона от 2 мая 2006 года № 59-ФЗ "О порядке рассмотрения обращений граждан Российской Федерации"</w:t>
            </w:r>
          </w:p>
          <w:p>
            <w:pPr>
              <w:pStyle w:val="Bodytext31"/>
              <w:widowControl w:val="false"/>
              <w:shd w:val="clear" w:color="auto" w:fill="auto"/>
              <w:suppressAutoHyphens w:val="true"/>
              <w:spacing w:lineRule="exact" w:line="264" w:before="0" w:after="0"/>
              <w:ind w:right="-108" w:hanging="0"/>
              <w:jc w:val="left"/>
              <w:rPr/>
            </w:pPr>
            <w:r>
              <w:rPr>
                <w:rStyle w:val="Bodytext21"/>
                <w:b w:val="false"/>
                <w:kern w:val="0"/>
                <w:sz w:val="22"/>
                <w:szCs w:val="22"/>
                <w:shd w:fill="FFFF00" w:val="clear"/>
                <w:lang w:val="ru-RU" w:eastAsia="en-US" w:bidi="ar-SA"/>
              </w:rPr>
              <w:t>2. Осуществление текущего контроля за рассмотрением обращений граждан и юридических лиц, а также принятие мер по повышению результативности и эффективности работы с указанными обращениями</w:t>
            </w:r>
          </w:p>
        </w:tc>
        <w:tc>
          <w:tcPr>
            <w:tcW w:w="1844" w:type="dxa"/>
            <w:tcBorders/>
          </w:tcPr>
          <w:p>
            <w:pPr>
              <w:pStyle w:val="Bodytext31"/>
              <w:widowControl w:val="false"/>
              <w:shd w:val="clear" w:color="auto" w:fill="auto"/>
              <w:tabs>
                <w:tab w:val="clear" w:pos="708"/>
                <w:tab w:val="left" w:pos="1344" w:leader="none"/>
              </w:tabs>
              <w:suppressAutoHyphens w:val="true"/>
              <w:spacing w:lineRule="exact" w:line="264" w:before="0" w:after="0"/>
              <w:ind w:right="-108" w:hanging="0"/>
              <w:jc w:val="left"/>
              <w:rPr>
                <w:b w:val="false"/>
                <w:b w:val="false"/>
                <w:kern w:val="0"/>
                <w:sz w:val="22"/>
                <w:szCs w:val="22"/>
                <w:shd w:fill="FFFF00" w:val="clear"/>
                <w:lang w:val="ru-RU" w:eastAsia="en-US" w:bidi="ar-SA"/>
              </w:rPr>
            </w:pPr>
            <w:r>
              <w:rPr>
                <w:b w:val="false"/>
                <w:kern w:val="0"/>
                <w:sz w:val="22"/>
                <w:szCs w:val="22"/>
                <w:shd w:fill="FFFF00" w:val="clear"/>
                <w:lang w:val="ru-RU" w:eastAsia="en-US" w:bidi="ar-SA"/>
              </w:rPr>
              <w:t>Отсутствие</w:t>
            </w:r>
          </w:p>
        </w:tc>
        <w:tc>
          <w:tcPr>
            <w:tcW w:w="1558" w:type="dxa"/>
            <w:tcBorders/>
          </w:tcPr>
          <w:p>
            <w:pPr>
              <w:pStyle w:val="Bodytext31"/>
              <w:widowControl w:val="false"/>
              <w:shd w:val="clear" w:color="auto" w:fill="auto"/>
              <w:suppressAutoHyphens w:val="true"/>
              <w:spacing w:lineRule="exact" w:line="264" w:before="0" w:after="0"/>
              <w:ind w:right="300" w:hanging="0"/>
              <w:jc w:val="left"/>
              <w:rPr>
                <w:b w:val="false"/>
                <w:b w:val="false"/>
                <w:kern w:val="0"/>
                <w:sz w:val="22"/>
                <w:szCs w:val="22"/>
                <w:shd w:fill="FFFF00" w:val="clear"/>
                <w:lang w:val="ru-RU" w:eastAsia="en-US" w:bidi="ar-SA"/>
              </w:rPr>
            </w:pPr>
            <w:r>
              <w:rPr>
                <w:b w:val="false"/>
                <w:kern w:val="0"/>
                <w:sz w:val="22"/>
                <w:szCs w:val="22"/>
                <w:shd w:fill="FFFF00" w:val="clear"/>
                <w:lang w:val="ru-RU" w:eastAsia="en-US" w:bidi="ar-SA"/>
              </w:rPr>
              <w:t>Низкая</w:t>
            </w:r>
          </w:p>
        </w:tc>
      </w:tr>
    </w:tbl>
    <w:p>
      <w:pPr>
        <w:pStyle w:val="Bodytext31"/>
        <w:shd w:val="clear" w:color="auto" w:fill="auto"/>
        <w:spacing w:lineRule="exact" w:line="264"/>
        <w:ind w:right="300" w:hanging="0"/>
        <w:jc w:val="center"/>
        <w:rPr/>
      </w:pPr>
      <w:r>
        <w:rPr/>
      </w:r>
    </w:p>
    <w:p>
      <w:pPr>
        <w:pStyle w:val="Normal"/>
        <w:spacing w:before="0" w:after="0"/>
        <w:ind w:right="284" w:hanging="0"/>
        <w:jc w:val="center"/>
        <w:rPr>
          <w:rFonts w:ascii="Times New Roman" w:hAnsi="Times New Roman" w:cs="Times New Roman"/>
          <w:sz w:val="20"/>
          <w:szCs w:val="20"/>
        </w:rPr>
      </w:pPr>
      <w:r>
        <w:rPr/>
      </w:r>
    </w:p>
    <w:sectPr>
      <w:type w:val="nextPage"/>
      <w:pgSz w:orient="landscape" w:w="16838" w:h="11906"/>
      <w:pgMar w:left="1134" w:right="678" w:header="0" w:top="426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odytext210ptItalic" w:customStyle="1">
    <w:name w:val="Body text (2) + 10 pt;Italic"/>
    <w:basedOn w:val="DefaultParagraphFont"/>
    <w:qFormat/>
    <w:rsid w:val="00d8719e"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color w:val="000000"/>
      <w:spacing w:val="0"/>
      <w:w w:val="100"/>
      <w:sz w:val="20"/>
      <w:szCs w:val="20"/>
      <w:u w:val="single"/>
      <w:lang w:val="ru-RU" w:eastAsia="ru-RU" w:bidi="ru-RU"/>
    </w:rPr>
  </w:style>
  <w:style w:type="character" w:styleId="Bodytext3" w:customStyle="1">
    <w:name w:val="Body text (3)_"/>
    <w:basedOn w:val="DefaultParagraphFont"/>
    <w:link w:val="Bodytext30"/>
    <w:qFormat/>
    <w:rsid w:val="00d8719e"/>
    <w:rPr>
      <w:rFonts w:ascii="Times New Roman" w:hAnsi="Times New Roman" w:eastAsia="Times New Roman" w:cs="Times New Roman"/>
      <w:b/>
      <w:bCs/>
      <w:shd w:fill="FFFFFF" w:val="clear"/>
    </w:rPr>
  </w:style>
  <w:style w:type="character" w:styleId="Bodytext2" w:customStyle="1">
    <w:name w:val="Body text (2)_"/>
    <w:basedOn w:val="DefaultParagraphFont"/>
    <w:qFormat/>
    <w:rsid w:val="00d8719e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u w:val="none"/>
    </w:rPr>
  </w:style>
  <w:style w:type="character" w:styleId="Bodytext21" w:customStyle="1">
    <w:name w:val="Body text (2)"/>
    <w:basedOn w:val="Bodytext2"/>
    <w:qFormat/>
    <w:rsid w:val="00d8719e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none"/>
      <w:lang w:val="ru-RU" w:eastAsia="ru-RU" w:bidi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Bodytext31" w:customStyle="1">
    <w:name w:val="Body text (3)"/>
    <w:basedOn w:val="Normal"/>
    <w:link w:val="Bodytext3"/>
    <w:qFormat/>
    <w:rsid w:val="00d8719e"/>
    <w:pPr>
      <w:widowControl w:val="false"/>
      <w:shd w:val="clear" w:color="auto" w:fill="FFFFFF"/>
      <w:spacing w:lineRule="atLeast" w:line="0" w:before="0" w:after="0"/>
    </w:pPr>
    <w:rPr>
      <w:rFonts w:ascii="Times New Roman" w:hAnsi="Times New Roman" w:eastAsia="Times New Roman" w:cs="Times New Roman"/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d8719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Application>LibreOffice/7.0.3.1$Windows_X86_64 LibreOffice_project/d7547858d014d4cf69878db179d326fc3483e082</Application>
  <Pages>2</Pages>
  <Words>446</Words>
  <Characters>3392</Characters>
  <CharactersWithSpaces>3789</CharactersWithSpaces>
  <Paragraphs>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2022-03-15T09:40:00Z</dcterms:created>
  <dc:creator>46802</dc:creator>
  <dc:description/>
  <dc:language>ru-RU</dc:language>
  <cp:lastModifiedBy/>
  <dcterms:modified xsi:type="dcterms:W3CDTF">2022-03-21T16:25:36Z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