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10915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Приложение № 2 </w:t>
      </w:r>
    </w:p>
    <w:p>
      <w:pPr>
        <w:pStyle w:val="Normal"/>
        <w:spacing w:before="0" w:after="0"/>
        <w:ind w:left="10915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Утверждено приказом 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2"/>
          <w:szCs w:val="22"/>
          <w:lang w:val="ru-RU" w:eastAsia="ru-RU" w:bidi="ru-RU"/>
        </w:rPr>
        <w:t>МКУ «УХО»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2"/>
          <w:szCs w:val="22"/>
          <w:lang w:val="ru-RU" w:eastAsia="ru-RU" w:bidi="ru-RU"/>
        </w:rPr>
        <w:t xml:space="preserve"> </w:t>
      </w:r>
      <w:r>
        <w:rPr>
          <w:rFonts w:eastAsia="Calibri" w:cs="Times New Roman" w:ascii="Times New Roman" w:hAnsi="Times New Roman"/>
          <w:color w:val="000000"/>
          <w:kern w:val="0"/>
          <w:sz w:val="22"/>
          <w:szCs w:val="22"/>
          <w:lang w:val="ru-RU" w:eastAsia="ru-RU" w:bidi="ru-RU"/>
        </w:rPr>
        <w:t>города Курчатова</w:t>
      </w:r>
    </w:p>
    <w:p>
      <w:pPr>
        <w:pStyle w:val="Normal"/>
        <w:ind w:left="10915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от__________________№________</w:t>
      </w:r>
    </w:p>
    <w:p>
      <w:pPr>
        <w:pStyle w:val="Normal"/>
        <w:ind w:left="10915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21"/>
        <w:shd w:val="clear" w:color="auto" w:fill="auto"/>
        <w:spacing w:before="0" w:after="0"/>
        <w:ind w:right="60" w:hanging="0"/>
        <w:rPr/>
      </w:pPr>
      <w:r>
        <w:rPr>
          <w:color w:val="000000"/>
        </w:rPr>
        <w:t>ПЛАН МЕРОПРИЯТИЙ ("дорожная карта")</w:t>
        <w:br/>
        <w:t xml:space="preserve">по устранению комплаеис-рисков в </w:t>
      </w:r>
      <w:r>
        <w:rPr>
          <w:rFonts w:eastAsia="Times New Roman" w:cs="Times New Roman"/>
          <w:b/>
          <w:bCs/>
          <w:color w:val="000000"/>
          <w:lang w:eastAsia="ru-RU" w:bidi="ru-RU"/>
        </w:rPr>
        <w:t>МКУ «УХО»</w:t>
      </w:r>
      <w:r>
        <w:rPr>
          <w:color w:val="000000"/>
          <w:lang w:eastAsia="ru-RU" w:bidi="ru-RU"/>
        </w:rPr>
        <w:t xml:space="preserve"> города Курчатова 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a3"/>
        <w:tblW w:w="151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1"/>
        <w:gridCol w:w="2570"/>
        <w:gridCol w:w="4524"/>
        <w:gridCol w:w="2493"/>
        <w:gridCol w:w="2490"/>
        <w:gridCol w:w="2491"/>
      </w:tblGrid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п/п</w:t>
            </w:r>
          </w:p>
        </w:tc>
        <w:tc>
          <w:tcPr>
            <w:tcW w:w="2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Мероприятия по снижению рисков нарушения антимонопольного законодательства</w:t>
            </w:r>
          </w:p>
        </w:tc>
        <w:tc>
          <w:tcPr>
            <w:tcW w:w="45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Описание действий</w:t>
            </w:r>
          </w:p>
        </w:tc>
        <w:tc>
          <w:tcPr>
            <w:tcW w:w="24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Ответственный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исполнитель</w:t>
            </w:r>
          </w:p>
        </w:tc>
        <w:tc>
          <w:tcPr>
            <w:tcW w:w="24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Срок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исполнения</w:t>
            </w:r>
          </w:p>
        </w:tc>
        <w:tc>
          <w:tcPr>
            <w:tcW w:w="24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Показатель результата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2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Проведение мониторинга и анализа практики применения антимонопольного законодательства, законодательства о закупках</w:t>
            </w:r>
          </w:p>
        </w:tc>
        <w:tc>
          <w:tcPr>
            <w:tcW w:w="45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1. Проведение анализа изменений антимонопольного законодательства и законодательства о закупках.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3. Участие в работе круглых столов, обучающих семинаров-совещаний, проводимых Управлением Федеральной антимонопольной службы по Курской областей другими органами</w:t>
            </w:r>
          </w:p>
        </w:tc>
        <w:tc>
          <w:tcPr>
            <w:tcW w:w="24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Бакланова А. В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.</w:t>
            </w:r>
          </w:p>
        </w:tc>
        <w:tc>
          <w:tcPr>
            <w:tcW w:w="24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 течение года, постоянно</w:t>
            </w:r>
          </w:p>
        </w:tc>
        <w:tc>
          <w:tcPr>
            <w:tcW w:w="24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Сокращение вероятности наступления комплаенс- риска, недопущение нарушений антимонопольного законодательства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2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2"/>
                <w:szCs w:val="22"/>
                <w:shd w:fill="FFFF00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shd w:fill="FFFF00" w:val="clear"/>
                <w:lang w:val="ru-RU" w:eastAsia="en-US" w:bidi="ar-SA"/>
              </w:rPr>
              <w:t xml:space="preserve">Проведение анализа нормативных правовых актов и проектов нормативных правовых актов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FFFF00" w:val="clear"/>
                <w:lang w:val="ru-RU" w:eastAsia="ru-RU" w:bidi="ru-RU"/>
              </w:rPr>
              <w:t>МКУ «УХО»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FFFF00" w:val="clear"/>
                <w:lang w:val="ru-RU" w:eastAsia="ru-RU" w:bidi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2"/>
                <w:shd w:fill="FFFF00" w:val="clear"/>
                <w:lang w:val="ru-RU" w:eastAsia="ru-RU" w:bidi="ru-RU"/>
              </w:rPr>
              <w:t>города Курчатова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shd w:fill="FFFF00" w:val="clear"/>
                <w:lang w:val="ru-RU" w:eastAsia="en-US" w:bidi="ar-SA"/>
              </w:rPr>
              <w:t xml:space="preserve"> на предмет соответствия антимонопольному законодательству.</w:t>
            </w:r>
            <w:bookmarkStart w:id="0" w:name="_GoBack"/>
            <w:bookmarkEnd w:id="0"/>
          </w:p>
        </w:tc>
        <w:tc>
          <w:tcPr>
            <w:tcW w:w="45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1. Проведение анализа нормативных правовых актов на предмет соответствия антимонопольному законодательству.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2. Проведение процедуры согласования проектов нормативных правовых актов.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3. Проведение оценки регулирующего воздействия проектов нормативных правовых актов.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Бакланова А. В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.</w:t>
            </w:r>
          </w:p>
        </w:tc>
        <w:tc>
          <w:tcPr>
            <w:tcW w:w="24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 течение года,  постоянно</w:t>
            </w:r>
          </w:p>
        </w:tc>
        <w:tc>
          <w:tcPr>
            <w:tcW w:w="24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Сокращение вероятности наступления комплаенс- риска, недопущение нарушений антимонопольного законодательства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2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Проведение мероприятий по предотвращению конфликта интересов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сотрудников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, в чьи должностные обязанности входят полномочия по проведению закупок товаров, работ, услуг для обеспечения  нужд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учреждения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.</w:t>
            </w:r>
          </w:p>
        </w:tc>
        <w:tc>
          <w:tcPr>
            <w:tcW w:w="45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1. Проведение мероприятий по выявлению фактов несоблюдения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сотрудниками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lang w:val="ru-RU" w:eastAsia="ru-RU" w:bidi="ru-RU"/>
              </w:rPr>
              <w:t>МКУ «УХО»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lang w:val="ru-RU" w:eastAsia="ru-RU" w:bidi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ru-RU"/>
              </w:rPr>
              <w:t xml:space="preserve">города Курчатова 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ограничений, запретов  установленных в целях противодействия коррупции, в том числе мер по предотвращению и (или) урегулированию конфликта интересов.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2. Оказание консультативной помощи по вопросам, связанным с применением законодательства о противодействии коррупции, антимонопольном законодательстве.</w:t>
            </w:r>
          </w:p>
        </w:tc>
        <w:tc>
          <w:tcPr>
            <w:tcW w:w="24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Бакланова А. В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.</w:t>
            </w:r>
          </w:p>
        </w:tc>
        <w:tc>
          <w:tcPr>
            <w:tcW w:w="24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 течение года,  постоянно</w:t>
            </w:r>
          </w:p>
        </w:tc>
        <w:tc>
          <w:tcPr>
            <w:tcW w:w="24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Сокращение вероятности наступления комплаенс- риска, недопущение нарушений антимонопольного законодательства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2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Предотвращение нарушений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антимонопольного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законодательства при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осуществлении закупок товаров,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работ, услуг для обеспечения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муниципальных нужд.</w:t>
            </w:r>
          </w:p>
        </w:tc>
        <w:tc>
          <w:tcPr>
            <w:tcW w:w="452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1. Подготовка документации по осуществлению закупок товаров, работ, услуг для обеспечения муниципальных нужд в соответствии с требованиями законодательства в сфере закупок и ее размещение на сайте единой информационной системы в сфере закупок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  <w:t>www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  <w:t>zakupki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  <w:t>gov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.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  <w:t>ru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2. Повышение квалификации ответственных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должностных лиц по осуществлению закупок товаров, работ, услуг для обеспечения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муниципальных  нужд (участие в семинарах, курсах повышения квалификации)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Сахаров Е. Н.</w:t>
            </w:r>
          </w:p>
        </w:tc>
        <w:tc>
          <w:tcPr>
            <w:tcW w:w="24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 течение года,  постоянно</w:t>
            </w:r>
          </w:p>
        </w:tc>
        <w:tc>
          <w:tcPr>
            <w:tcW w:w="24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Сокращение вероятности наступления комплаенс- риска, недопущение нарушений антимонопольного законодательства</w:t>
            </w:r>
          </w:p>
        </w:tc>
      </w:tr>
    </w:tbl>
    <w:p>
      <w:pPr>
        <w:pStyle w:val="Normal"/>
        <w:spacing w:before="0" w:after="200"/>
        <w:jc w:val="center"/>
        <w:rPr>
          <w:rFonts w:ascii="Times New Roman" w:hAnsi="Times New Roman" w:cs="Times New Roman"/>
        </w:rPr>
      </w:pPr>
      <w:r>
        <w:rPr/>
      </w:r>
    </w:p>
    <w:sectPr>
      <w:type w:val="nextPage"/>
      <w:pgSz w:orient="landscape" w:w="16838" w:h="11906"/>
      <w:pgMar w:left="1134" w:right="820" w:header="0" w:top="426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dytext2" w:customStyle="1">
    <w:name w:val="Body text (2)_"/>
    <w:basedOn w:val="DefaultParagraphFont"/>
    <w:link w:val="Bodytext20"/>
    <w:qFormat/>
    <w:locked/>
    <w:rsid w:val="00282bc6"/>
    <w:rPr>
      <w:rFonts w:ascii="Times New Roman" w:hAnsi="Times New Roman" w:eastAsia="Times New Roman" w:cs="Times New Roman"/>
      <w:b/>
      <w:bCs/>
      <w:shd w:fill="FFFFFF" w:val="clear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Bodytext21" w:customStyle="1">
    <w:name w:val="Body text (2)"/>
    <w:basedOn w:val="Normal"/>
    <w:link w:val="Bodytext2"/>
    <w:qFormat/>
    <w:rsid w:val="00282bc6"/>
    <w:pPr>
      <w:widowControl w:val="false"/>
      <w:shd w:val="clear" w:color="auto" w:fill="FFFFFF"/>
      <w:spacing w:lineRule="exact" w:line="269" w:before="720" w:after="0"/>
      <w:jc w:val="center"/>
    </w:pPr>
    <w:rPr>
      <w:rFonts w:ascii="Times New Roman" w:hAnsi="Times New Roman" w:eastAsia="Times New Roman" w:cs="Times New Roman"/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82bc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Application>LibreOffice/7.0.3.1$Windows_X86_64 LibreOffice_project/d7547858d014d4cf69878db179d326fc3483e082</Application>
  <Pages>2</Pages>
  <Words>330</Words>
  <Characters>2637</Characters>
  <CharactersWithSpaces>2928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2022-03-16T06:39:00Z</dcterms:created>
  <dc:creator>46802</dc:creator>
  <dc:description/>
  <dc:language>ru-RU</dc:language>
  <cp:lastModifiedBy/>
  <dcterms:modified xsi:type="dcterms:W3CDTF">2022-03-21T16:21:34Z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