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120"/>
        <w:ind w:left="0" w:right="120" w:hanging="0"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АДМИНИСТРАЦИЯ ГОРОДА КУРЧАТОВА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КУРСКОЙ ОБЛАСТИ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 от 24 декабря 2012 г. N 1949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ОБ УТВЕРЖДЕНИИ ПОРЯДКА УВЕДОМЛЕНИЯ МУНИЦИПАЛЬНЫМИ СЛУЖАЩИМИ,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ЗАМЕЩАЮЩИМИ ДОЛЖНОСТИ МУНИЦИПАЛЬНОЙ СЛУЖБЫ В АДМИНИСТРАЦИИ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ГОРОДА КУРЧАТОВА, ПРЕДСТАВИТЕЛЯ НАНИМАТЕЛЯ О НАМЕРЕНИИ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ВЫПОЛНЯТЬ ИНУЮ ОПЛАЧИВАЕМУЮ РАБОТУ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В соответствии со </w:t>
      </w:r>
      <w:hyperlink r:id="rId2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статьей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Федерального закона от 02.03.2007 N 25-ФЗ "О муниципальной службе в Российской Федерации" и в целях реализации Федерального </w:t>
      </w:r>
      <w:hyperlink r:id="rId3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закона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25.12.2008 N 273-ФЗ "О противодействии коррупции", администрация города Курчатова постановляет: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1. Утвердить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http://www.kurchatov.info/index.php?option=com_content&amp;view=article&amp;id=2780:postanovlenie-administraczii-goroda-kurchatova-ot-24122012-1949-lob-utverzhdenii-poryadka-uvedomleniya-municzipalnymi-sluzhashhimi-zameshhayushhimi-dolzhnosti-municzipalnoj-sluzhby-v-administraczii-goroda-kurchatova-predstavitelya-nanimatelya-o-namerenii&amp;catid=97:municzipalnaya-sluzhba-new&amp;Itemid=10" \l "Par32"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Порядок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уведомления муниципальными служащими, замещающими должности муниципальной службы в администрации города Курчатова, представителя нанимателя о намерении выполнять иную оплачиваемую работу (приложение).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2. Начальнику общего отдела Управления делами администрации города Курчатова Шнякиной В.П. в трехдневный срок довести настоящее постановление до работников администрации города Курчатова под роспись.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Контроль за исполнением настоящего постановления возложить на начальника Управления делами администрации города Курчатова Гребенькову Е.Н.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4. Постановление вступает в силу со дня его подписания.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Глава города</w:t>
      </w:r>
    </w:p>
    <w:p>
      <w:pPr>
        <w:pStyle w:val="Normal"/>
        <w:widowControl/>
        <w:jc w:val="right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И.В.КОРПУНКОВ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 N 1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Утверждено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постановлением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администрации города Курчатова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от 24 декабря 2012 г. N 1949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ПОРЯДОК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УВЕДОМЛЕНИЯ МУНИЦИПАЛЬНЫМИ СЛУЖАЩИМИ, ЗАМЕЩАЮЩИМИ ДОЛЖНОСТИ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МУНИЦИПАЛЬНОЙ СЛУЖБЫ В АДМИНИСТРАЦИИ ГОРОДА КУРЧАТОВА,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ПРЕДСТАВИТЕЛЯ НАНИМАТЕЛЯ О НАМЕРЕНИИ ВЫПОЛНЯТЬ ИНУЮ</w:t>
      </w:r>
    </w:p>
    <w:p>
      <w:pPr>
        <w:pStyle w:val="Normal"/>
        <w:widowControl/>
        <w:jc w:val="center"/>
        <w:rPr/>
      </w:pPr>
      <w:r>
        <w:rPr>
          <w:rStyle w:val="Style10"/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ОПЛАЧИВАЕМУЮ РАБОТУ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1. Настоящий Порядок разработан на основании </w:t>
      </w:r>
      <w:hyperlink r:id="rId4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части 2 статьи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Федерального закона от 02.03.2007 N 25-ФЗ "О муниципальной службе в Российской Федерации" с целью предотвращения конфликта интересов на муниципальной службе и устанавливает процедуру уведомления Главы города Курчатова (далее - работодатель) о выполнении муниципальным служащим, замещающим должность муниципальной службы в администрации города Курчатова (далее - муниципальный служащий) иной оплачиваемой работы.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2. Муниципальный служащий вправе с предварительного письменного уведомления работодателя выполнять иную оплачиваемую работу, если это не повлечет за собой конфликт интересов.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3. Под конфликтом интересов понимается ситуация,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граждан, организаций, общества, Российской Федерации, Курской области, города Курчатова способное привести к причинению вреда этим законным интересам граждан, организаций, общества, Российской Федерации, Курской области, города Курчатова.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4. Выполнение муниципальным служащим иной регулярной оплачиваемой работы должно осуществляться в свободное от основной работы время в соответствии с требованиями трудового законодательства о работе по совместительству.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5. Муниципальный служащий, планирующий выполнять иную оплачиваемую работу, направляет работодателю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http://www.kurchatov.info/index.php?option=com_content&amp;view=article&amp;id=2780:postanovlenie-administraczii-goroda-kurchatova-ot-24122012-1949-lob-utverzhdenii-poryadka-uvedomleniya-municzipalnymi-sluzhashhimi-zameshhayushhimi-dolzhnosti-municzipalnoj-sluzhby-v-administraczii-goroda-kurchatova-predstavitelya-nanimatelya-o-namerenii&amp;catid=97:municzipalnaya-sluzhba-new&amp;Itemid=10" \l "Par71"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уведомление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письменной форме согласно приложению N 1 к настоящему Порядку. Указанное уведомление должно быть направлено до начала выполнения иной оплачиваемой работы.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6. Уведомление о предстоящем выполнении иной оплачиваемой работы (далее - уведомление) должно содержать: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- 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- наименование должности по иной оплачиваемой работе, основные обязанности, описание характера работы;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- предполагаемый график занятости (сроки и время выполнения иной оплачиваемой работы).</w:t>
      </w:r>
    </w:p>
    <w:p>
      <w:pPr>
        <w:pStyle w:val="Normal"/>
        <w:widowControl/>
        <w:rPr/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Уведомление регистрируется в день поступления в </w:t>
      </w:r>
      <w:r>
        <w:fldChar w:fldCharType="begin"/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instrText> HYPERLINK "http://www.kurchatov.info/index.php?option=com_content&amp;view=article&amp;id=2780:postanovlenie-administraczii-goroda-kurchatova-ot-24122012-1949-lob-utverzhdenii-poryadka-uvedomleniya-municzipalnymi-sluzhashhimi-zameshhayushhimi-dolzhnosti-municzipalnoj-sluzhby-v-administraczii-goroda-kurchatova-predstavitelya-nanimatelya-o-namerenii&amp;catid=97:municzipalnaya-sluzhba-new&amp;Itemid=10" \l "Par111"</w:instrTex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separate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>Журнале</w:t>
      </w:r>
      <w:r>
        <w:rPr>
          <w:smallCaps w:val="false"/>
          <w:caps w:val="false"/>
          <w:dstrike w:val="false"/>
          <w:strike w:val="false"/>
          <w:sz w:val="23"/>
          <w:spacing w:val="0"/>
          <w:i w:val="false"/>
          <w:u w:val="none"/>
          <w:b w:val="false"/>
          <w:effect w:val="none"/>
          <w:rFonts w:ascii="Roboto;sans-serif" w:hAnsi="Roboto;sans-serif"/>
          <w:color w:val="3E8ACA"/>
        </w:rPr>
        <w:fldChar w:fldCharType="end"/>
      </w:r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регистрации уведомлений муниципальным служащим администрации города о предстоящем выполнении иной оплачиваемой работы по форме согласно приложению N 2 к настоящему Порядку.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7. Уведомление муниципального служащего о предстоящем выполнении иной оплачиваемой работы специалистом по кадровой работе Управления делами администрации города Курчатова в течение трех дней направляется в комиссию по соблюдению требований к служебному поведению муниципальных служащих администрации города Курчатова и урегулированию конфликта интересов.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8. По итогам рассмотрения уведомления комиссия принимает одно из двух решений: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а) установить,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б) установить факт наличия личной заинтересованности муниципального служащего, которая приводит или может привести к конфликту интересов.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Протокол заседания комиссии направляется Главе города на утверждение.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Результат рассмотрения уведомления, секретарем комиссии в 3-дневный срок со дня утверждения протокола Главой города направляется муниципальному служащему в виде выписки из протокола, а также по решению комиссии - иным заинтересованным лицам.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9.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работодателя о новых обстоятельствах в соответствии с настоящим Порядком.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 N 1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 Порядку уведомления муниципальным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замещающими должности муниципальной службы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администрации города Курчатова,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представителя нанимателя о намерении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выполнять иную оплачиваемую работу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Главе города Курчатова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(Ф.И.О.)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УВЕДОМЛЕНИЕ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муниципальным служащим администрации города Курчатова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о выполнении иной оплачиваемой работы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/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 xml:space="preserve">В соответствии с </w:t>
      </w:r>
      <w:hyperlink r:id="rId5">
        <w:r>
          <w:rPr>
            <w:rFonts w:ascii="Roboto;sans-serif" w:hAnsi="Roboto;sans-serif"/>
            <w:b w:val="false"/>
            <w:i w:val="false"/>
            <w:caps w:val="false"/>
            <w:smallCaps w:val="false"/>
            <w:strike w:val="false"/>
            <w:dstrike w:val="false"/>
            <w:color w:val="3E8ACA"/>
            <w:spacing w:val="0"/>
            <w:sz w:val="23"/>
            <w:u w:val="none"/>
            <w:effect w:val="none"/>
          </w:rPr>
          <w:t>пунктом 2 статьи 11</w:t>
        </w:r>
      </w:hyperlink>
      <w:r>
        <w:rPr>
          <w:rFonts w:ascii="Roboto;sans-serif" w:hAnsi="Roboto;sans-serif"/>
          <w:b w:val="false"/>
          <w:i w:val="false"/>
          <w:caps w:val="false"/>
          <w:smallCaps w:val="false"/>
          <w:strike w:val="false"/>
          <w:dstrike w:val="false"/>
          <w:color w:val="3E8ACA"/>
          <w:spacing w:val="0"/>
          <w:sz w:val="23"/>
          <w:u w:val="none"/>
          <w:effect w:val="none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Федерального закона от 02.03.2007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N 25-ФЗ "О муниципальной службе в Российской Федерации"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Я, ________________________________________________________________________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(фамилия, имя, отчество)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замещающий должность муниципальной службы _________________________________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___________________________________________________________________________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(наименование должности)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намерен(а) с "___" _______________ 20__ г. по "___" _______________ 20__ г.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заниматься (занимаюсь) иной оплачиваемой деятельностью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(подчеркнуть)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выполняя работу ___________________________________________________________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(по трудовому договору, гражданско-трудовому)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_________________________________________________________________________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(полное наименование организации)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___________________________________________________________________________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должности _______________________________________________________________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Работа ____________________________________________________________________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(конкретная работа или трудовая функция)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___________________________________________________________________________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будет выполняться в свободное от основной работы время и не повлечет за</w:t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собой конфликт интересов.</w:t>
      </w:r>
    </w:p>
    <w:p>
      <w:pPr>
        <w:pStyle w:val="Normal"/>
        <w:widowControl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"___" _______________ 20__ г.         _________________</w:t>
      </w:r>
    </w:p>
    <w:p>
      <w:pPr>
        <w:pStyle w:val="Normal"/>
        <w:widowControl/>
        <w:jc w:val="center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  <w:t xml:space="preserve">           </w:t>
      </w: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(подпись)</w:t>
      </w:r>
    </w:p>
    <w:p>
      <w:pPr>
        <w:pStyle w:val="Normal"/>
        <w:widowControl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Приложение N 2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к Порядку уведомления муниципальным служащим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замещающими должности муниципальной службы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 администрации города Курчатова,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представителя нанимателя о намерении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выполнять иную оплачиваемую работу</w:t>
      </w:r>
    </w:p>
    <w:p>
      <w:pPr>
        <w:pStyle w:val="Normal"/>
        <w:widowControl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ЖУРНАЛ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регистрации уведомления муниципальным служащим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администрации города Курчатова о предстоящем выполнении</w:t>
      </w:r>
    </w:p>
    <w:p>
      <w:pPr>
        <w:pStyle w:val="Normal"/>
        <w:widowControl/>
        <w:ind w:left="0" w:right="0" w:hanging="0"/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</w:pPr>
      <w:r>
        <w:rPr>
          <w:rFonts w:ascii="Roboto;sans-serif" w:hAnsi="Roboto;sans-serif"/>
          <w:b w:val="false"/>
          <w:i w:val="false"/>
          <w:caps w:val="false"/>
          <w:smallCaps w:val="false"/>
          <w:color w:val="000000"/>
          <w:spacing w:val="0"/>
          <w:sz w:val="23"/>
        </w:rPr>
        <w:t>иной оплачиваемой работы представителя нанимателя</w:t>
      </w:r>
    </w:p>
    <w:p>
      <w:pPr>
        <w:pStyle w:val="Normal"/>
        <w:widowControl/>
        <w:ind w:left="0" w:right="0" w:hanging="0"/>
        <w:rPr>
          <w:caps w:val="false"/>
          <w:smallCaps w:val="false"/>
          <w:color w:val="000000"/>
          <w:spacing w:val="0"/>
        </w:rPr>
      </w:pPr>
      <w:r>
        <w:rPr>
          <w:caps w:val="false"/>
          <w:smallCaps w:val="false"/>
          <w:color w:val="000000"/>
          <w:spacing w:val="0"/>
        </w:rPr>
      </w:r>
    </w:p>
    <w:tbl>
      <w:tblPr>
        <w:tblW w:w="6993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0"/>
        <w:gridCol w:w="844"/>
        <w:gridCol w:w="1088"/>
        <w:gridCol w:w="832"/>
        <w:gridCol w:w="972"/>
        <w:gridCol w:w="895"/>
        <w:gridCol w:w="1074"/>
        <w:gridCol w:w="1088"/>
      </w:tblGrid>
      <w:tr>
        <w:trPr/>
        <w:tc>
          <w:tcPr>
            <w:tcW w:w="200" w:type="dxa"/>
            <w:tcBorders/>
            <w:vAlign w:val="center"/>
          </w:tcPr>
          <w:p>
            <w:pPr>
              <w:pStyle w:val="Style19"/>
              <w:rPr/>
            </w:pPr>
            <w:r>
              <w:rPr>
                <w:sz w:val="15"/>
              </w:rPr>
              <w:t>N</w:t>
            </w:r>
          </w:p>
        </w:tc>
        <w:tc>
          <w:tcPr>
            <w:tcW w:w="844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Дата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регистрации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уведомления</w:t>
            </w:r>
          </w:p>
        </w:tc>
        <w:tc>
          <w:tcPr>
            <w:tcW w:w="1088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Ф.И.О.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муниципального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служащего,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представившего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уведомление</w:t>
            </w:r>
          </w:p>
        </w:tc>
        <w:tc>
          <w:tcPr>
            <w:tcW w:w="83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Ф.И.О.,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подпись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сотрудника,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принявшего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уведомление</w:t>
            </w:r>
          </w:p>
        </w:tc>
        <w:tc>
          <w:tcPr>
            <w:tcW w:w="972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Дата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направления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уведомления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представителю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нанимателя</w:t>
            </w:r>
          </w:p>
        </w:tc>
        <w:tc>
          <w:tcPr>
            <w:tcW w:w="895" w:type="dxa"/>
            <w:tcBorders/>
            <w:vAlign w:val="center"/>
          </w:tcPr>
          <w:p>
            <w:pPr>
              <w:pStyle w:val="Style19"/>
              <w:rPr/>
            </w:pPr>
            <w:r>
              <w:rPr>
                <w:sz w:val="15"/>
              </w:rPr>
              <w:t>Дата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рассмотрения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уведомления,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краткое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содержание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резолюции</w:t>
            </w:r>
          </w:p>
        </w:tc>
        <w:tc>
          <w:tcPr>
            <w:tcW w:w="1074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Сведения о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рассмотрении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уведомления</w:t>
            </w:r>
          </w:p>
          <w:p>
            <w:pPr>
              <w:pStyle w:val="Style19"/>
              <w:rPr/>
            </w:pPr>
            <w:r>
              <w:rPr>
                <w:sz w:val="15"/>
              </w:rPr>
              <w:t>Комиссией по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урегулированию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конфликта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интересов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(в случае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рассмотрения)</w:t>
            </w:r>
          </w:p>
        </w:tc>
        <w:tc>
          <w:tcPr>
            <w:tcW w:w="1088" w:type="dxa"/>
            <w:tcBorders/>
            <w:vAlign w:val="center"/>
          </w:tcPr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Дата доведения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до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муниципального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служащего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решения</w:t>
            </w:r>
          </w:p>
          <w:p>
            <w:pPr>
              <w:pStyle w:val="Style19"/>
              <w:rPr>
                <w:sz w:val="15"/>
              </w:rPr>
            </w:pPr>
            <w:r>
              <w:rPr>
                <w:sz w:val="15"/>
              </w:rPr>
              <w:t>представителя</w:t>
            </w:r>
          </w:p>
          <w:p>
            <w:pPr>
              <w:pStyle w:val="Style19"/>
              <w:rPr/>
            </w:pPr>
            <w:r>
              <w:rPr/>
              <w:t xml:space="preserve"> </w:t>
            </w:r>
            <w:r>
              <w:rPr>
                <w:sz w:val="15"/>
              </w:rPr>
              <w:t>нанимателя</w:t>
            </w:r>
          </w:p>
        </w:tc>
      </w:tr>
      <w:tr>
        <w:trPr/>
        <w:tc>
          <w:tcPr>
            <w:tcW w:w="200" w:type="dxa"/>
            <w:tcBorders/>
            <w:vAlign w:val="center"/>
          </w:tcPr>
          <w:p>
            <w:pPr>
              <w:pStyle w:val="Style19"/>
              <w:rPr/>
            </w:pPr>
            <w:r>
              <w:rPr/>
              <w:t>1</w:t>
            </w:r>
          </w:p>
        </w:tc>
        <w:tc>
          <w:tcPr>
            <w:tcW w:w="844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2</w:t>
            </w:r>
          </w:p>
        </w:tc>
        <w:tc>
          <w:tcPr>
            <w:tcW w:w="1088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3</w:t>
            </w:r>
          </w:p>
        </w:tc>
        <w:tc>
          <w:tcPr>
            <w:tcW w:w="832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4</w:t>
            </w:r>
          </w:p>
        </w:tc>
        <w:tc>
          <w:tcPr>
            <w:tcW w:w="972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5</w:t>
            </w:r>
          </w:p>
        </w:tc>
        <w:tc>
          <w:tcPr>
            <w:tcW w:w="895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6</w:t>
            </w:r>
          </w:p>
        </w:tc>
        <w:tc>
          <w:tcPr>
            <w:tcW w:w="1074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7</w:t>
            </w:r>
          </w:p>
        </w:tc>
        <w:tc>
          <w:tcPr>
            <w:tcW w:w="1088" w:type="dxa"/>
            <w:tcBorders/>
            <w:vAlign w:val="center"/>
          </w:tcPr>
          <w:p>
            <w:pPr>
              <w:pStyle w:val="Style19"/>
              <w:jc w:val="center"/>
              <w:rPr/>
            </w:pPr>
            <w:r>
              <w:rPr/>
              <w:t xml:space="preserve"> </w:t>
            </w:r>
            <w:r>
              <w:rPr/>
              <w:t>8</w:t>
            </w:r>
          </w:p>
        </w:tc>
      </w:tr>
    </w:tbl>
    <w:p>
      <w:pPr>
        <w:pStyle w:val="Normal"/>
        <w:spacing w:before="120" w:after="120"/>
        <w:ind w:left="0" w:right="120" w:hanging="0"/>
        <w:jc w:val="center"/>
        <w:rPr>
          <w:rStyle w:val="Style10"/>
          <w:rFonts w:ascii="Roboto;sans-serif" w:hAnsi="Roboto;sans-serif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sz w:val="23"/>
        </w:rPr>
      </w:pPr>
      <w:r>
        <w:rP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Roboto">
    <w:altName w:val="sans-serif"/>
    <w:charset w:val="cc"/>
    <w:family w:val="auto"/>
    <w:pitch w:val="default"/>
  </w:font>
  <w:font w:name="Roboto">
    <w:altName w:val="sans-serif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XO Thames" w:hAnsi="XO Thames" w:eastAsia="NSimSun" w:cs="Arial Unicode MS"/>
        <w:color w:val="000000"/>
        <w:sz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heading 10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toc 10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link w:val="Style_1_ch"/>
    <w:uiPriority w:val="0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4"/>
      <w:szCs w:val="20"/>
      <w:lang w:val="ru-RU" w:eastAsia="zh-CN" w:bidi="hi-IN"/>
    </w:rPr>
  </w:style>
  <w:style w:type="paragraph" w:styleId="1">
    <w:name w:val="Heading 1"/>
    <w:next w:val="Normal"/>
    <w:link w:val="Style_9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NSimSun" w:cs="Arial Unicode M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link w:val="Style_21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link w:val="Style_6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NSimSun" w:cs="Arial Unicode M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link w:val="Style_20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NSimSun" w:cs="Arial Unicode M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link w:val="Style_8_ch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NSimSun" w:cs="Arial Unicode MS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link w:val="Style_2"/>
    <w:qFormat/>
    <w:rPr>
      <w:rFonts w:ascii="XO Thames" w:hAnsi="XO Thames"/>
      <w:sz w:val="28"/>
    </w:rPr>
  </w:style>
  <w:style w:type="character" w:styleId="Contents4">
    <w:name w:val="Contents 4"/>
    <w:link w:val="Style_3"/>
    <w:qFormat/>
    <w:rPr>
      <w:rFonts w:ascii="XO Thames" w:hAnsi="XO Thames"/>
      <w:sz w:val="28"/>
    </w:rPr>
  </w:style>
  <w:style w:type="character" w:styleId="Contents6">
    <w:name w:val="Contents 6"/>
    <w:link w:val="Style_4"/>
    <w:qFormat/>
    <w:rPr>
      <w:rFonts w:ascii="XO Thames" w:hAnsi="XO Thames"/>
      <w:sz w:val="28"/>
    </w:rPr>
  </w:style>
  <w:style w:type="character" w:styleId="Contents7">
    <w:name w:val="Contents 7"/>
    <w:link w:val="Style_5"/>
    <w:qFormat/>
    <w:rPr>
      <w:rFonts w:ascii="XO Thames" w:hAnsi="XO Thames"/>
      <w:sz w:val="28"/>
    </w:rPr>
  </w:style>
  <w:style w:type="character" w:styleId="Heading3">
    <w:name w:val="Heading 3"/>
    <w:link w:val="Style_6"/>
    <w:qFormat/>
    <w:rPr>
      <w:rFonts w:ascii="XO Thames" w:hAnsi="XO Thames"/>
      <w:b/>
      <w:sz w:val="26"/>
    </w:rPr>
  </w:style>
  <w:style w:type="character" w:styleId="Contents3">
    <w:name w:val="Contents 3"/>
    <w:link w:val="Style_7"/>
    <w:qFormat/>
    <w:rPr>
      <w:rFonts w:ascii="XO Thames" w:hAnsi="XO Thames"/>
      <w:sz w:val="28"/>
    </w:rPr>
  </w:style>
  <w:style w:type="character" w:styleId="Heading5">
    <w:name w:val="Heading 5"/>
    <w:link w:val="Style_8"/>
    <w:qFormat/>
    <w:rPr>
      <w:rFonts w:ascii="XO Thames" w:hAnsi="XO Thames"/>
      <w:b/>
      <w:sz w:val="22"/>
    </w:rPr>
  </w:style>
  <w:style w:type="character" w:styleId="Heading1">
    <w:name w:val="Heading 1"/>
    <w:link w:val="Style_9"/>
    <w:qFormat/>
    <w:rPr>
      <w:rFonts w:ascii="XO Thames" w:hAnsi="XO Thames"/>
      <w:b/>
      <w:sz w:val="32"/>
    </w:rPr>
  </w:style>
  <w:style w:type="character" w:styleId="Style9">
    <w:name w:val="Интернет-ссылка"/>
    <w:link w:val="Style_10"/>
    <w:rPr>
      <w:color w:val="0000FF"/>
      <w:u w:val="single"/>
    </w:rPr>
  </w:style>
  <w:style w:type="character" w:styleId="Footnote">
    <w:name w:val="Footnote"/>
    <w:link w:val="Style_11"/>
    <w:qFormat/>
    <w:rPr>
      <w:rFonts w:ascii="XO Thames" w:hAnsi="XO Thames"/>
      <w:sz w:val="22"/>
    </w:rPr>
  </w:style>
  <w:style w:type="character" w:styleId="Contents1">
    <w:name w:val="Contents 1"/>
    <w:link w:val="Style_12"/>
    <w:qFormat/>
    <w:rPr>
      <w:rFonts w:ascii="XO Thames" w:hAnsi="XO Thames"/>
      <w:b/>
      <w:sz w:val="28"/>
    </w:rPr>
  </w:style>
  <w:style w:type="character" w:styleId="HeaderandFooter">
    <w:name w:val="Header and Footer"/>
    <w:link w:val="Style_13"/>
    <w:qFormat/>
    <w:rPr>
      <w:rFonts w:ascii="XO Thames" w:hAnsi="XO Thames"/>
      <w:sz w:val="20"/>
    </w:rPr>
  </w:style>
  <w:style w:type="character" w:styleId="Contents9">
    <w:name w:val="Contents 9"/>
    <w:link w:val="Style_14"/>
    <w:qFormat/>
    <w:rPr>
      <w:rFonts w:ascii="XO Thames" w:hAnsi="XO Thames"/>
      <w:sz w:val="28"/>
    </w:rPr>
  </w:style>
  <w:style w:type="character" w:styleId="Contents8">
    <w:name w:val="Contents 8"/>
    <w:link w:val="Style_15"/>
    <w:qFormat/>
    <w:rPr>
      <w:rFonts w:ascii="XO Thames" w:hAnsi="XO Thames"/>
      <w:sz w:val="28"/>
    </w:rPr>
  </w:style>
  <w:style w:type="character" w:styleId="Contents5">
    <w:name w:val="Contents 5"/>
    <w:link w:val="Style_16"/>
    <w:qFormat/>
    <w:rPr>
      <w:rFonts w:ascii="XO Thames" w:hAnsi="XO Thames"/>
      <w:sz w:val="28"/>
    </w:rPr>
  </w:style>
  <w:style w:type="character" w:styleId="Subtitle">
    <w:name w:val="Subtitle"/>
    <w:link w:val="Style_17"/>
    <w:qFormat/>
    <w:rPr>
      <w:rFonts w:ascii="XO Thames" w:hAnsi="XO Thames"/>
      <w:i/>
      <w:sz w:val="24"/>
    </w:rPr>
  </w:style>
  <w:style w:type="character" w:styleId="Toc10">
    <w:name w:val="toc 10"/>
    <w:link w:val="Style_18"/>
    <w:qFormat/>
    <w:rPr>
      <w:rFonts w:ascii="XO Thames" w:hAnsi="XO Thames"/>
      <w:sz w:val="28"/>
    </w:rPr>
  </w:style>
  <w:style w:type="character" w:styleId="Title">
    <w:name w:val="Title"/>
    <w:link w:val="Style_19"/>
    <w:qFormat/>
    <w:rPr>
      <w:rFonts w:ascii="XO Thames" w:hAnsi="XO Thames"/>
      <w:b/>
      <w:caps/>
      <w:sz w:val="40"/>
    </w:rPr>
  </w:style>
  <w:style w:type="character" w:styleId="Heading4">
    <w:name w:val="Heading 4"/>
    <w:link w:val="Style_20"/>
    <w:qFormat/>
    <w:rPr>
      <w:rFonts w:ascii="XO Thames" w:hAnsi="XO Thames"/>
      <w:b/>
      <w:sz w:val="24"/>
    </w:rPr>
  </w:style>
  <w:style w:type="character" w:styleId="Heading2">
    <w:name w:val="Heading 2"/>
    <w:link w:val="Style_21"/>
    <w:qFormat/>
    <w:rPr>
      <w:rFonts w:ascii="XO Thames" w:hAnsi="XO Thames"/>
      <w:b/>
      <w:sz w:val="28"/>
    </w:rPr>
  </w:style>
  <w:style w:type="character" w:styleId="Style10">
    <w:name w:val="Выделение жирным"/>
    <w:qFormat/>
    <w:rPr>
      <w:b/>
      <w:bCs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12">
    <w:name w:val="Body Text"/>
    <w:basedOn w:val="Normal"/>
    <w:pPr>
      <w:spacing w:lineRule="auto" w:line="276" w:before="0" w:after="140"/>
    </w:pPr>
    <w:rPr/>
  </w:style>
  <w:style w:type="paragraph" w:styleId="Style13">
    <w:name w:val="List"/>
    <w:basedOn w:val="Style12"/>
    <w:pPr/>
    <w:rPr>
      <w:rFonts w:cs="Arial Unicode MS"/>
    </w:rPr>
  </w:style>
  <w:style w:type="paragraph" w:styleId="Style14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 Unicode MS"/>
    </w:rPr>
  </w:style>
  <w:style w:type="paragraph" w:styleId="21">
    <w:name w:val="TOC 2"/>
    <w:next w:val="Normal"/>
    <w:link w:val="Style_2_ch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41">
    <w:name w:val="TOC 4"/>
    <w:next w:val="Normal"/>
    <w:link w:val="Style_3_ch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link w:val="Style_4_ch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link w:val="Style_5_ch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link w:val="Style_7_ch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Internetlink">
    <w:name w:val="Hyperlink"/>
    <w:link w:val="Style_10_ch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color w:val="0000FF"/>
      <w:spacing w:val="0"/>
      <w:kern w:val="0"/>
      <w:sz w:val="24"/>
      <w:szCs w:val="20"/>
      <w:u w:val="single"/>
      <w:lang w:val="ru-RU" w:eastAsia="zh-CN" w:bidi="hi-IN"/>
    </w:rPr>
  </w:style>
  <w:style w:type="paragraph" w:styleId="Footnote1">
    <w:name w:val="Footnote"/>
    <w:link w:val="Style_11_ch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NSimSun" w:cs="Arial Unicode MS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link w:val="Style_12_ch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NSimSun" w:cs="Arial Unicode M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6">
    <w:name w:val="Верхний и нижний колонтитулы"/>
    <w:link w:val="Style_13_ch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 Unicode MS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link w:val="Style_14_ch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link w:val="Style_15_ch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link w:val="Style_16_ch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7">
    <w:name w:val="Subtitle"/>
    <w:next w:val="Normal"/>
    <w:link w:val="Style_17_ch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NSimSun" w:cs="Arial Unicode M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Toc101">
    <w:name w:val="toc 10"/>
    <w:next w:val="Normal"/>
    <w:link w:val="Style_18_ch"/>
    <w:uiPriority w:val="39"/>
    <w:qFormat/>
    <w:pPr>
      <w:widowControl/>
      <w:suppressAutoHyphens w:val="true"/>
      <w:bidi w:val="0"/>
      <w:spacing w:lineRule="auto" w:line="240" w:before="0" w:after="0"/>
      <w:ind w:left="1800" w:right="0" w:hanging="0"/>
      <w:jc w:val="left"/>
    </w:pPr>
    <w:rPr>
      <w:rFonts w:ascii="XO Thames" w:hAnsi="XO Thames" w:eastAsia="NSimSun" w:cs="Arial Unicode MS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8">
    <w:name w:val="Title"/>
    <w:next w:val="Normal"/>
    <w:link w:val="Style_19_ch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NSimSun" w:cs="Arial Unicode M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E0A05835A65D4DCC29CAA6ED3C5F3C07F053CF0DEEAAFF02C4CC74D929CEFFF42A6E3B51B713E4D518y9N" TargetMode="External"/><Relationship Id="rId3" Type="http://schemas.openxmlformats.org/officeDocument/2006/relationships/hyperlink" Target="consultantplus://offline/ref=E0A05835A65D4DCC29CAA6ED3C5F3C07F052C101E8A3FF02C4CC74D9291CyEN" TargetMode="External"/><Relationship Id="rId4" Type="http://schemas.openxmlformats.org/officeDocument/2006/relationships/hyperlink" Target="consultantplus://offline/ref=E0A05835A65D4DCC29CAA6ED3C5F3C07F053CF0DEEAAFF02C4CC74D929CEFFF42A6E3B51B713E4D518y9N" TargetMode="External"/><Relationship Id="rId5" Type="http://schemas.openxmlformats.org/officeDocument/2006/relationships/hyperlink" Target="consultantplus://offline/ref=E0A05835A65D4DCC29CAA6ED3C5F3C07F053CF0DEEAAFF02C4CC74D929CEFFF42A6E3B51B713E4D518y9N" TargetMode="Externa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svg="http://schemas.microsoft.com/office/drawing/2016/SVG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LibreOffice/7.1.2.2$Windows_X86_64 LibreOffice_project/8a45595d069ef5570103caea1b71cc9d82b2aae4</Application>
  <AppVersion>15.0000</AppVersion>
  <Pages>4</Pages>
  <Words>841</Words>
  <Characters>6785</Characters>
  <CharactersWithSpaces>7542</CharactersWithSpaces>
  <Paragraphs>135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2023-05-18T08:25:00Z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