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Title"/>
        <w:widowControl/>
        <w:spacing w:lineRule="auto" w:line="276"/>
        <w:ind w:left="0" w:right="0" w:hanging="0"/>
        <w:jc w:val="center"/>
        <w:rPr>
          <w:rFonts w:ascii="Times New Roman" w:hAnsi="Times New Roman" w:eastAsia="Times New Roman" w:cs="Times New Roman"/>
          <w:b/>
          <w:b/>
          <w:sz w:val="32"/>
        </w:rPr>
      </w:pPr>
      <w:r>
        <w:rPr/>
        <w:drawing>
          <wp:inline distT="0" distB="0" distL="0" distR="0">
            <wp:extent cx="1200785" cy="765810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765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onsTitle"/>
        <w:widowControl/>
        <w:spacing w:lineRule="auto" w:line="276"/>
        <w:ind w:left="0" w:right="0" w:hanging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</w:r>
    </w:p>
    <w:p>
      <w:pPr>
        <w:pStyle w:val="ConsTitle"/>
        <w:widowControl/>
        <w:spacing w:lineRule="auto" w:line="276"/>
        <w:ind w:left="0" w:right="0" w:hanging="0"/>
        <w:jc w:val="center"/>
        <w:rPr>
          <w:rFonts w:ascii="Times New Roman" w:hAnsi="Times New Roman" w:eastAsia="Times New Roman" w:cs="Times New Roman"/>
          <w:b/>
          <w:b/>
          <w:sz w:val="32"/>
        </w:rPr>
      </w:pPr>
      <w:r>
        <w:rPr>
          <w:rFonts w:cs="Times New Roman" w:ascii="Times New Roman" w:hAnsi="Times New Roman"/>
          <w:sz w:val="40"/>
          <w:szCs w:val="40"/>
        </w:rPr>
        <w:t>КУРЧАТОВСКАЯ  ГОРОДСКАЯ ДУМА</w:t>
      </w:r>
    </w:p>
    <w:p>
      <w:pPr>
        <w:pStyle w:val="ConsTitle"/>
        <w:widowControl/>
        <w:spacing w:lineRule="auto" w:line="276"/>
        <w:ind w:left="0" w:right="0" w:hanging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cs="Times New Roman" w:ascii="Times New Roman" w:hAnsi="Times New Roman"/>
          <w:sz w:val="40"/>
          <w:szCs w:val="40"/>
        </w:rPr>
      </w:r>
    </w:p>
    <w:p>
      <w:pPr>
        <w:pStyle w:val="ConsTitle"/>
        <w:widowControl/>
        <w:spacing w:lineRule="auto" w:line="276"/>
        <w:ind w:left="0" w:right="0" w:hanging="0"/>
        <w:jc w:val="center"/>
        <w:rPr>
          <w:rFonts w:ascii="Times New Roman" w:hAnsi="Times New Roman" w:eastAsia="Times New Roman" w:cs="Times New Roman"/>
          <w:b/>
          <w:b/>
          <w:sz w:val="32"/>
        </w:rPr>
      </w:pPr>
      <w:r>
        <w:rPr>
          <w:rFonts w:cs="Times New Roman" w:ascii="Times New Roman" w:hAnsi="Times New Roman"/>
          <w:sz w:val="44"/>
          <w:szCs w:val="44"/>
        </w:rPr>
        <w:t>РЕШЕНИЕ</w:t>
      </w:r>
      <w:r>
        <w:rPr>
          <w:b w:val="false"/>
          <w:bCs w:val="false"/>
        </w:rPr>
        <w:tab/>
      </w:r>
    </w:p>
    <w:p>
      <w:pPr>
        <w:pStyle w:val="ConsTitle"/>
        <w:widowControl/>
        <w:spacing w:lineRule="auto" w:line="276"/>
        <w:ind w:left="0" w:right="0" w:hanging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</w:r>
    </w:p>
    <w:p>
      <w:pPr>
        <w:pStyle w:val="ConsTitle"/>
        <w:widowControl/>
        <w:spacing w:lineRule="auto" w:line="276"/>
        <w:ind w:left="0" w:right="0" w:hanging="0"/>
        <w:rPr>
          <w:rFonts w:ascii="Times New Roman" w:hAnsi="Times New Roman" w:cs="Times New Roman"/>
          <w:b w:val="false"/>
          <w:b w:val="false"/>
          <w:bCs w:val="false"/>
          <w:sz w:val="32"/>
          <w:szCs w:val="32"/>
        </w:rPr>
      </w:pPr>
      <w:r>
        <w:rPr>
          <w:rFonts w:cs="Times New Roman" w:ascii="Times New Roman" w:hAnsi="Times New Roman"/>
          <w:b w:val="false"/>
          <w:bCs w:val="false"/>
          <w:sz w:val="32"/>
          <w:szCs w:val="32"/>
        </w:rPr>
      </w:r>
    </w:p>
    <w:p>
      <w:pPr>
        <w:pStyle w:val="Normal"/>
        <w:spacing w:lineRule="auto" w:line="276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«__23__»_______08_______  2024 г.                                                                 №__42__</w:t>
      </w:r>
    </w:p>
    <w:p>
      <w:pPr>
        <w:pStyle w:val="Normal"/>
        <w:spacing w:lineRule="auto" w:line="276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</w:t>
      </w:r>
      <w:r>
        <w:rPr>
          <w:rFonts w:cs="Times New Roman" w:ascii="Times New Roman" w:hAnsi="Times New Roman"/>
          <w:sz w:val="24"/>
          <w:szCs w:val="24"/>
        </w:rPr>
        <w:t>г. Курчатов</w:t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76" w:before="0" w:after="0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О внесении изменений в решение</w:t>
      </w:r>
    </w:p>
    <w:p>
      <w:pPr>
        <w:pStyle w:val="Normal"/>
        <w:spacing w:lineRule="auto" w:line="276" w:before="0" w:after="0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Курчатовской городской Думы от</w:t>
      </w:r>
    </w:p>
    <w:p>
      <w:pPr>
        <w:pStyle w:val="Normal"/>
        <w:spacing w:lineRule="auto" w:line="276" w:before="0" w:after="0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22.12.2023 №82 «</w:t>
      </w:r>
      <w:r>
        <w:rPr>
          <w:rFonts w:eastAsia="Times New Roman" w:cs="Times New Roman" w:ascii="Times New Roman" w:hAnsi="Times New Roman"/>
          <w:b/>
          <w:sz w:val="28"/>
        </w:rPr>
        <w:t xml:space="preserve">О   бюджете города </w:t>
      </w:r>
    </w:p>
    <w:p>
      <w:pPr>
        <w:pStyle w:val="Normal"/>
        <w:spacing w:lineRule="auto" w:line="276" w:before="0" w:after="0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</w:rPr>
        <w:t>Курчатова на 2024 год и на плановый</w:t>
      </w:r>
    </w:p>
    <w:p>
      <w:pPr>
        <w:pStyle w:val="Normal"/>
        <w:spacing w:lineRule="auto" w:line="276" w:before="0" w:after="0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</w:rPr>
        <w:t>период 2025 и 2026 годов»</w:t>
      </w:r>
    </w:p>
    <w:p>
      <w:pPr>
        <w:pStyle w:val="Normal"/>
        <w:spacing w:lineRule="auto" w:line="240" w:before="0" w:after="0"/>
        <w:ind w:left="0"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0"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</w:t>
      </w:r>
      <w:r>
        <w:rPr>
          <w:rFonts w:eastAsia="Calibri" w:cs="Times New Roman" w:ascii="Times New Roman" w:hAnsi="Times New Roman"/>
          <w:bCs/>
          <w:sz w:val="28"/>
          <w:szCs w:val="28"/>
          <w:lang w:eastAsia="en-US"/>
        </w:rPr>
        <w:t xml:space="preserve">В соответствии с </w:t>
      </w:r>
      <w:r>
        <w:rPr>
          <w:rFonts w:eastAsia="Calibri" w:cs="Times New Roman" w:ascii="Times New Roman" w:hAnsi="Times New Roman"/>
          <w:sz w:val="28"/>
          <w:szCs w:val="28"/>
          <w:lang w:eastAsia="en-US"/>
        </w:rPr>
        <w:t xml:space="preserve">Федеральным </w:t>
      </w:r>
      <w:hyperlink r:id="rId3">
        <w:r>
          <w:rPr>
            <w:rFonts w:eastAsia="Calibri" w:cs="Times New Roman" w:ascii="Times New Roman" w:hAnsi="Times New Roman"/>
            <w:color w:val="0000FF"/>
            <w:sz w:val="28"/>
            <w:szCs w:val="28"/>
            <w:lang w:eastAsia="en-US"/>
          </w:rPr>
          <w:t>законом</w:t>
        </w:r>
      </w:hyperlink>
      <w:r>
        <w:rPr>
          <w:rFonts w:eastAsia="Calibri" w:cs="Times New Roman" w:ascii="Times New Roman" w:hAnsi="Times New Roman"/>
          <w:sz w:val="28"/>
          <w:szCs w:val="28"/>
          <w:lang w:eastAsia="en-US"/>
        </w:rPr>
        <w:t xml:space="preserve"> от 6 октября 2003 года № 131-ФЗ «Об общих принципах организации местного самоуправления в Российской Федерации»,</w:t>
      </w:r>
      <w:r>
        <w:rPr>
          <w:rFonts w:eastAsia="Calibri" w:cs="Times New Roman" w:ascii="Times New Roman" w:hAnsi="Times New Roman"/>
          <w:bCs/>
          <w:sz w:val="28"/>
          <w:szCs w:val="28"/>
          <w:lang w:eastAsia="en-US"/>
        </w:rPr>
        <w:t xml:space="preserve">  </w:t>
      </w:r>
      <w:hyperlink r:id="rId4">
        <w:r>
          <w:rPr>
            <w:rFonts w:eastAsia="Calibri" w:cs="Times New Roman" w:ascii="Times New Roman" w:hAnsi="Times New Roman"/>
            <w:bCs/>
            <w:sz w:val="28"/>
            <w:szCs w:val="28"/>
            <w:lang w:eastAsia="en-US"/>
          </w:rPr>
          <w:t>Уставом</w:t>
        </w:r>
      </w:hyperlink>
      <w:r>
        <w:rPr>
          <w:rFonts w:eastAsia="Calibri" w:cs="Times New Roman" w:ascii="Times New Roman" w:hAnsi="Times New Roman"/>
          <w:bCs/>
          <w:sz w:val="28"/>
          <w:szCs w:val="28"/>
          <w:lang w:eastAsia="en-US"/>
        </w:rPr>
        <w:t xml:space="preserve"> города Курчатова, </w:t>
      </w:r>
      <w:r>
        <w:rPr>
          <w:rFonts w:cs="Times New Roman" w:ascii="Times New Roman" w:hAnsi="Times New Roman"/>
          <w:sz w:val="28"/>
          <w:szCs w:val="28"/>
        </w:rPr>
        <w:t xml:space="preserve">Курчатовская  городская Дума  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РЕШИЛА:</w:t>
      </w:r>
    </w:p>
    <w:p>
      <w:pPr>
        <w:pStyle w:val="ConsPlusNormal1"/>
        <w:numPr>
          <w:ilvl w:val="0"/>
          <w:numId w:val="1"/>
        </w:numPr>
        <w:spacing w:lineRule="auto" w:line="276"/>
        <w:jc w:val="both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Внести в решение Курчатовской городской Думы от 22.12.2023 № 82 «О бюджете города Курчатова на 2024 год и на плановый период 2025 и 2026 годов» следующие изменения: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>1.1. В пункте 1:</w:t>
      </w:r>
    </w:p>
    <w:p>
      <w:pPr>
        <w:pStyle w:val="Normal"/>
        <w:spacing w:lineRule="auto" w:line="276" w:before="0" w:after="0"/>
        <w:ind w:left="0" w:right="0" w:firstLine="708"/>
        <w:jc w:val="both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подпункте 1 слова «</w:t>
      </w:r>
      <w:r>
        <w:rPr>
          <w:rFonts w:cs="Times New Roman" w:ascii="Times New Roman" w:hAnsi="Times New Roman"/>
          <w:color w:val="000000"/>
          <w:sz w:val="28"/>
          <w:szCs w:val="28"/>
        </w:rPr>
        <w:t>2 284 495 392,57 рубля</w:t>
      </w:r>
      <w:r>
        <w:rPr>
          <w:rFonts w:cs="Times New Roman" w:ascii="Times New Roman" w:hAnsi="Times New Roman"/>
          <w:sz w:val="28"/>
          <w:szCs w:val="28"/>
        </w:rPr>
        <w:t xml:space="preserve">» заменить словами            </w:t>
      </w:r>
      <w:r>
        <w:rPr>
          <w:rFonts w:cs="Times New Roman" w:ascii="Times New Roman" w:hAnsi="Times New Roman"/>
          <w:b/>
          <w:color w:val="000000"/>
          <w:sz w:val="28"/>
          <w:szCs w:val="28"/>
        </w:rPr>
        <w:t>«</w:t>
      </w:r>
      <w:r>
        <w:rPr>
          <w:rFonts w:cs="Times New Roman" w:ascii="Times New Roman" w:hAnsi="Times New Roman"/>
          <w:color w:val="000000"/>
          <w:sz w:val="28"/>
          <w:szCs w:val="28"/>
        </w:rPr>
        <w:t>2 366 996 527,26 рублей»;</w:t>
      </w:r>
      <w:bookmarkStart w:id="0" w:name="_GoBack"/>
    </w:p>
    <w:p>
      <w:pPr>
        <w:pStyle w:val="Normal"/>
        <w:spacing w:lineRule="auto" w:line="276" w:before="0" w:after="0"/>
        <w:ind w:left="0" w:right="0" w:firstLine="708"/>
        <w:jc w:val="both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 подпункте 2 слова «2 532 963 035,52 рублей» заменить словами «</w:t>
      </w:r>
      <w:r>
        <w:rPr>
          <w:rFonts w:cs="Times New Roman" w:ascii="Times New Roman" w:hAnsi="Times New Roman"/>
          <w:sz w:val="28"/>
          <w:szCs w:val="28"/>
        </w:rPr>
        <w:t>2 615 464 170,21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рублей»;</w:t>
      </w:r>
    </w:p>
    <w:p>
      <w:pPr>
        <w:pStyle w:val="ConsPlusNormal1"/>
        <w:spacing w:lineRule="auto" w:line="276"/>
        <w:ind w:left="0" w:right="0" w:firstLine="540"/>
        <w:jc w:val="both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Пункт 3 изложить в новой редакции:</w:t>
      </w:r>
    </w:p>
    <w:p>
      <w:pPr>
        <w:pStyle w:val="Normal"/>
        <w:spacing w:lineRule="auto" w:line="276" w:before="0" w:after="0"/>
        <w:ind w:left="540" w:right="0" w:hanging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«3. Установить объем межбюджетных трансфертов, получаемых из других бюджетов бюджетной системы Российской Федерации:</w:t>
      </w:r>
    </w:p>
    <w:p>
      <w:pPr>
        <w:pStyle w:val="ConsPlusNormal1"/>
        <w:spacing w:lineRule="auto" w:line="276"/>
        <w:ind w:left="900" w:right="0" w:hanging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2024 год в сумме 1 089 792 739 рублей;</w:t>
      </w:r>
    </w:p>
    <w:p>
      <w:pPr>
        <w:pStyle w:val="ConsPlusNormal1"/>
        <w:spacing w:lineRule="auto" w:line="276"/>
        <w:ind w:left="900" w:right="0" w:hanging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2025 год в сумме 730 520 079 рублей;</w:t>
      </w:r>
    </w:p>
    <w:p>
      <w:pPr>
        <w:pStyle w:val="ConsPlusNormal1"/>
        <w:spacing w:lineRule="auto" w:line="276"/>
        <w:ind w:left="900" w:right="0" w:hanging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2026 год в сумме 701 368 215 рублей.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1.3. Абзац 2 пункта 15 изложить в новой редакции:  </w:t>
      </w:r>
    </w:p>
    <w:p>
      <w:pPr>
        <w:pStyle w:val="Normal"/>
        <w:spacing w:lineRule="auto" w:line="276" w:before="0" w:after="0"/>
        <w:ind w:left="0" w:right="0" w:firstLine="540"/>
        <w:jc w:val="both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«</w:t>
      </w:r>
      <w:r>
        <w:rPr>
          <w:rFonts w:eastAsia="Times New Roman" w:cs="Times New Roman" w:ascii="Times New Roman" w:hAnsi="Times New Roman"/>
          <w:sz w:val="28"/>
          <w:szCs w:val="28"/>
        </w:rPr>
        <w:t>на 2024 год в сумме 40 000 000 рублей, в том числе для предупреждения и ликвидации чрезвычайных ситуаций природного и техногенного характера, последствий стихийных бедствий в сумме 12 000 000 рублей;».</w:t>
      </w:r>
    </w:p>
    <w:p>
      <w:pPr>
        <w:pStyle w:val="ConsPlusNormal1"/>
        <w:spacing w:lineRule="auto" w:line="276"/>
        <w:ind w:left="0" w:right="0" w:hanging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 xml:space="preserve">1.4. Приложения </w:t>
      </w:r>
      <w:r>
        <w:rPr>
          <w:rFonts w:cs="Times New Roman" w:ascii="Times New Roman" w:hAnsi="Times New Roman"/>
          <w:color w:val="000000"/>
          <w:sz w:val="28"/>
          <w:szCs w:val="28"/>
        </w:rPr>
        <w:t>№№ 1, 3, 5, 6, 7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утвержденные решением, изложить в новой редакции (прилагаются).</w:t>
        <w:tab/>
      </w:r>
    </w:p>
    <w:p>
      <w:pPr>
        <w:pStyle w:val="ConsPlusNormal1"/>
        <w:spacing w:lineRule="auto" w:line="276"/>
        <w:ind w:left="0" w:right="0" w:firstLine="540"/>
        <w:jc w:val="both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2.</w:t>
      </w:r>
      <w:r>
        <w:rPr>
          <w:rFonts w:cs="Times New Roman" w:ascii="Times New Roman" w:hAnsi="Times New Roman"/>
          <w:sz w:val="28"/>
          <w:szCs w:val="28"/>
        </w:rPr>
        <w:t xml:space="preserve"> Возложить осуществление контрольных функций за исполнением настоящего решения на постоянную комиссию Курчатовской городской Думы по вопросам экономической политики в пределах ее компетенции.</w:t>
      </w:r>
    </w:p>
    <w:p>
      <w:pPr>
        <w:pStyle w:val="ConsPlusNormal1"/>
        <w:spacing w:lineRule="auto" w:line="276"/>
        <w:ind w:left="0" w:right="0" w:firstLine="540"/>
        <w:jc w:val="both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3.</w:t>
      </w:r>
      <w:r>
        <w:rPr>
          <w:rFonts w:cs="Times New Roman" w:ascii="Times New Roman" w:hAnsi="Times New Roman"/>
          <w:sz w:val="28"/>
          <w:szCs w:val="28"/>
        </w:rPr>
        <w:t xml:space="preserve"> Настоящее решение вступает в силу со дня его официального опубликования.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Председатель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Курчатовской городской Думы                                                    </w:t>
        <w:tab/>
        <w:t xml:space="preserve">        А.А. Суздалев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Глава города                                                                                   </w:t>
        <w:tab/>
        <w:t xml:space="preserve">       И.В. Корпунков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  <w:tab/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bookmarkEnd w:id="0"/>
      <w:r>
        <w:rPr>
          <w:rFonts w:eastAsia="Times New Roman" w:cs="Times New Roman" w:ascii="Times New Roman" w:hAnsi="Times New Roman"/>
          <w:sz w:val="28"/>
          <w:szCs w:val="28"/>
        </w:rPr>
        <w:t xml:space="preserve">      </w:t>
      </w:r>
      <w:r>
        <w:rPr>
          <w:rFonts w:eastAsia="Times New Roman" w:cs="Times New Roman" w:ascii="Times New Roman" w:hAnsi="Times New Roman"/>
          <w:sz w:val="28"/>
          <w:szCs w:val="28"/>
        </w:rPr>
        <w:tab/>
        <w:t xml:space="preserve"> </w:t>
      </w:r>
    </w:p>
    <w:sectPr>
      <w:headerReference w:type="even" r:id="rId5"/>
      <w:headerReference w:type="default" r:id="rId6"/>
      <w:headerReference w:type="first" r:id="rId7"/>
      <w:footerReference w:type="even" r:id="rId8"/>
      <w:footerReference w:type="default" r:id="rId9"/>
      <w:footerReference w:type="first" r:id="rId10"/>
      <w:type w:val="nextPage"/>
      <w:pgSz w:w="11906" w:h="16838"/>
      <w:pgMar w:left="1134" w:right="567" w:gutter="0" w:header="709" w:top="766" w:footer="709" w:bottom="766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XO Thames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7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7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7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/>
    </w:lvl>
    <w:lvl w:ilvl="1">
      <w:start w:val="3"/>
      <w:numFmt w:val="decimal"/>
      <w:lvlText w:val="%1.%2."/>
      <w:lvlJc w:val="left"/>
      <w:pPr>
        <w:tabs>
          <w:tab w:val="num" w:pos="0"/>
        </w:tabs>
        <w:ind w:left="1260" w:hanging="72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6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20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2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80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40" w:hanging="180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340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700" w:hanging="21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c5eb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325d1d"/>
    <w:rPr/>
  </w:style>
  <w:style w:type="character" w:styleId="Style14" w:customStyle="1">
    <w:name w:val="Текст Знак"/>
    <w:basedOn w:val="DefaultParagraphFont"/>
    <w:link w:val="PlainText"/>
    <w:uiPriority w:val="99"/>
    <w:qFormat/>
    <w:rsid w:val="00707be3"/>
    <w:rPr>
      <w:rFonts w:ascii="Courier New" w:hAnsi="Courier New" w:eastAsia="Times New Roman" w:cs="Times New Roman"/>
      <w:sz w:val="20"/>
      <w:szCs w:val="20"/>
      <w:lang w:eastAsia="ru-RU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b60727"/>
    <w:rPr>
      <w:rFonts w:ascii="Tahoma" w:hAnsi="Tahoma" w:eastAsia="" w:cs="Tahoma" w:eastAsiaTheme="minorEastAsia"/>
      <w:sz w:val="16"/>
      <w:szCs w:val="16"/>
      <w:lang w:eastAsia="ru-RU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7b5358"/>
    <w:rPr>
      <w:rFonts w:eastAsia="" w:eastAsiaTheme="minorEastAsia"/>
      <w:lang w:eastAsia="ru-RU"/>
    </w:rPr>
  </w:style>
  <w:style w:type="character" w:styleId="Style17" w:customStyle="1">
    <w:name w:val="Нижний колонтитул Знак"/>
    <w:basedOn w:val="DefaultParagraphFont"/>
    <w:uiPriority w:val="99"/>
    <w:qFormat/>
    <w:rsid w:val="007b5358"/>
    <w:rPr>
      <w:rFonts w:eastAsia="" w:eastAsiaTheme="minorEastAsia"/>
      <w:lang w:eastAsia="ru-RU"/>
    </w:rPr>
  </w:style>
  <w:style w:type="character" w:styleId="Style18">
    <w:name w:val="Hyperlink"/>
    <w:rPr>
      <w:color w:val="000080"/>
      <w:u w:val="single"/>
      <w:lang w:val="zxx" w:eastAsia="zxx" w:bidi="zxx"/>
    </w:rPr>
  </w:style>
  <w:style w:type="character" w:styleId="BalloonTextChar">
    <w:name w:val="Balloon Text Char"/>
    <w:qFormat/>
    <w:rPr>
      <w:rFonts w:ascii="Tahoma" w:hAnsi="Tahoma" w:eastAsia="Times New Roman" w:cs="Tahoma"/>
      <w:color w:val="000000"/>
      <w:sz w:val="16"/>
      <w:szCs w:val="16"/>
    </w:rPr>
  </w:style>
  <w:style w:type="character" w:styleId="1">
    <w:name w:val="Обычный1"/>
    <w:qFormat/>
    <w:rPr>
      <w:sz w:val="24"/>
    </w:rPr>
  </w:style>
  <w:style w:type="character" w:styleId="2">
    <w:name w:val="Оглавление 2 Знак"/>
    <w:qFormat/>
    <w:rPr>
      <w:rFonts w:ascii="XO Thames" w:hAnsi="XO Thames" w:cs="XO Thames"/>
      <w:sz w:val="28"/>
    </w:rPr>
  </w:style>
  <w:style w:type="character" w:styleId="4">
    <w:name w:val="Оглавление 4 Знак"/>
    <w:qFormat/>
    <w:rPr>
      <w:rFonts w:ascii="XO Thames" w:hAnsi="XO Thames" w:cs="XO Thames"/>
      <w:sz w:val="28"/>
    </w:rPr>
  </w:style>
  <w:style w:type="character" w:styleId="6">
    <w:name w:val="Оглавление 6 Знак"/>
    <w:qFormat/>
    <w:rPr>
      <w:rFonts w:ascii="XO Thames" w:hAnsi="XO Thames" w:cs="XO Thames"/>
      <w:sz w:val="28"/>
    </w:rPr>
  </w:style>
  <w:style w:type="character" w:styleId="7">
    <w:name w:val="Оглавление 7 Знак"/>
    <w:qFormat/>
    <w:rPr>
      <w:rFonts w:ascii="XO Thames" w:hAnsi="XO Thames" w:cs="XO Thames"/>
      <w:sz w:val="28"/>
    </w:rPr>
  </w:style>
  <w:style w:type="character" w:styleId="ConsPlusTitle">
    <w:name w:val="ConsPlusTitle"/>
    <w:qFormat/>
    <w:rPr>
      <w:rFonts w:ascii="Arial" w:hAnsi="Arial" w:cs="Arial"/>
      <w:b/>
      <w:i w:val="false"/>
      <w:strike w:val="false"/>
      <w:dstrike w:val="false"/>
      <w:sz w:val="16"/>
      <w:u w:val="none"/>
    </w:rPr>
  </w:style>
  <w:style w:type="character" w:styleId="3">
    <w:name w:val="Заголовок 3 Знак"/>
    <w:qFormat/>
    <w:rPr>
      <w:rFonts w:ascii="XO Thames" w:hAnsi="XO Thames" w:cs="XO Thames"/>
      <w:b/>
      <w:sz w:val="26"/>
    </w:rPr>
  </w:style>
  <w:style w:type="character" w:styleId="ConsPlusNonformat">
    <w:name w:val="ConsPlusNonformat"/>
    <w:qFormat/>
    <w:rPr>
      <w:rFonts w:ascii="Courier New" w:hAnsi="Courier New" w:cs="Courier New"/>
      <w:b w:val="false"/>
      <w:i w:val="false"/>
      <w:strike w:val="false"/>
      <w:dstrike w:val="false"/>
      <w:sz w:val="20"/>
      <w:u w:val="none"/>
    </w:rPr>
  </w:style>
  <w:style w:type="character" w:styleId="ConsPlusTextList">
    <w:name w:val="ConsPlusTextList"/>
    <w:qFormat/>
    <w:rPr>
      <w:rFonts w:ascii="Arial" w:hAnsi="Arial" w:cs="Arial"/>
      <w:b w:val="false"/>
      <w:i w:val="false"/>
      <w:strike w:val="false"/>
      <w:dstrike w:val="false"/>
      <w:sz w:val="20"/>
      <w:u w:val="none"/>
    </w:rPr>
  </w:style>
  <w:style w:type="character" w:styleId="31">
    <w:name w:val="Оглавление 3 Знак"/>
    <w:qFormat/>
    <w:rPr>
      <w:rFonts w:ascii="XO Thames" w:hAnsi="XO Thames" w:cs="XO Thames"/>
      <w:sz w:val="28"/>
    </w:rPr>
  </w:style>
  <w:style w:type="character" w:styleId="ConsPlusCell">
    <w:name w:val="ConsPlusCell"/>
    <w:qFormat/>
    <w:rPr>
      <w:rFonts w:ascii="Courier New" w:hAnsi="Courier New" w:cs="Courier New"/>
      <w:b w:val="false"/>
      <w:i w:val="false"/>
      <w:strike w:val="false"/>
      <w:dstrike w:val="false"/>
      <w:sz w:val="20"/>
      <w:u w:val="none"/>
    </w:rPr>
  </w:style>
  <w:style w:type="character" w:styleId="ConsPlusNormal">
    <w:name w:val="ConsPlusNormal"/>
    <w:qFormat/>
    <w:rPr>
      <w:rFonts w:ascii="Arial" w:hAnsi="Arial" w:cs="Arial"/>
      <w:b w:val="false"/>
      <w:i w:val="false"/>
      <w:strike w:val="false"/>
      <w:dstrike w:val="false"/>
      <w:sz w:val="16"/>
      <w:u w:val="none"/>
    </w:rPr>
  </w:style>
  <w:style w:type="character" w:styleId="5">
    <w:name w:val="Заголовок 5 Знак"/>
    <w:qFormat/>
    <w:rPr>
      <w:rFonts w:ascii="XO Thames" w:hAnsi="XO Thames" w:cs="XO Thames"/>
      <w:b/>
      <w:sz w:val="22"/>
    </w:rPr>
  </w:style>
  <w:style w:type="character" w:styleId="ConsPlusTextList0">
    <w:name w:val="ConsPlusTextList_0"/>
    <w:qFormat/>
    <w:rPr>
      <w:rFonts w:ascii="Arial" w:hAnsi="Arial" w:cs="Arial"/>
      <w:b w:val="false"/>
      <w:i w:val="false"/>
      <w:strike w:val="false"/>
      <w:dstrike w:val="false"/>
      <w:sz w:val="20"/>
      <w:u w:val="none"/>
    </w:rPr>
  </w:style>
  <w:style w:type="character" w:styleId="11">
    <w:name w:val="Заголовок 1 Знак"/>
    <w:qFormat/>
    <w:rPr>
      <w:rFonts w:ascii="XO Thames" w:hAnsi="XO Thames" w:cs="XO Thames"/>
      <w:b/>
      <w:sz w:val="32"/>
    </w:rPr>
  </w:style>
  <w:style w:type="character" w:styleId="Footnote">
    <w:name w:val="Footnote"/>
    <w:qFormat/>
    <w:rPr>
      <w:rFonts w:ascii="XO Thames" w:hAnsi="XO Thames" w:cs="XO Thames"/>
      <w:sz w:val="22"/>
    </w:rPr>
  </w:style>
  <w:style w:type="character" w:styleId="12">
    <w:name w:val="Оглавление 1 Знак"/>
    <w:qFormat/>
    <w:rPr>
      <w:rFonts w:ascii="XO Thames" w:hAnsi="XO Thames" w:cs="XO Thames"/>
      <w:b/>
      <w:sz w:val="28"/>
    </w:rPr>
  </w:style>
  <w:style w:type="character" w:styleId="HeaderandFooter">
    <w:name w:val="Header and Footer"/>
    <w:qFormat/>
    <w:rPr>
      <w:rFonts w:ascii="XO Thames" w:hAnsi="XO Thames" w:cs="XO Thames"/>
      <w:sz w:val="20"/>
    </w:rPr>
  </w:style>
  <w:style w:type="character" w:styleId="9">
    <w:name w:val="Оглавление 9 Знак"/>
    <w:qFormat/>
    <w:rPr>
      <w:rFonts w:ascii="XO Thames" w:hAnsi="XO Thames" w:cs="XO Thames"/>
      <w:sz w:val="28"/>
    </w:rPr>
  </w:style>
  <w:style w:type="character" w:styleId="8">
    <w:name w:val="Оглавление 8 Знак"/>
    <w:qFormat/>
    <w:rPr>
      <w:rFonts w:ascii="XO Thames" w:hAnsi="XO Thames" w:cs="XO Thames"/>
      <w:sz w:val="28"/>
    </w:rPr>
  </w:style>
  <w:style w:type="character" w:styleId="ConsPlusTitlePage">
    <w:name w:val="ConsPlusTitlePage"/>
    <w:qFormat/>
    <w:rPr>
      <w:rFonts w:ascii="Tahoma" w:hAnsi="Tahoma" w:cs="Tahoma"/>
      <w:b w:val="false"/>
      <w:i w:val="false"/>
      <w:strike w:val="false"/>
      <w:dstrike w:val="false"/>
      <w:sz w:val="16"/>
      <w:u w:val="none"/>
    </w:rPr>
  </w:style>
  <w:style w:type="character" w:styleId="51">
    <w:name w:val="Оглавление 5 Знак"/>
    <w:qFormat/>
    <w:rPr>
      <w:rFonts w:ascii="XO Thames" w:hAnsi="XO Thames" w:cs="XO Thames"/>
      <w:sz w:val="28"/>
    </w:rPr>
  </w:style>
  <w:style w:type="character" w:styleId="ConsPlusJurTerm">
    <w:name w:val="ConsPlusJurTerm"/>
    <w:qFormat/>
    <w:rPr>
      <w:rFonts w:ascii="Tahoma" w:hAnsi="Tahoma" w:cs="Tahoma"/>
      <w:b w:val="false"/>
      <w:i w:val="false"/>
      <w:strike w:val="false"/>
      <w:dstrike w:val="false"/>
      <w:sz w:val="26"/>
      <w:u w:val="none"/>
    </w:rPr>
  </w:style>
  <w:style w:type="character" w:styleId="Style19">
    <w:name w:val="Подзаголовок Знак"/>
    <w:qFormat/>
    <w:rPr>
      <w:rFonts w:ascii="XO Thames" w:hAnsi="XO Thames" w:cs="XO Thames"/>
      <w:i/>
      <w:sz w:val="24"/>
    </w:rPr>
  </w:style>
  <w:style w:type="character" w:styleId="Toc10">
    <w:name w:val="toc 10"/>
    <w:qFormat/>
    <w:rPr>
      <w:rFonts w:ascii="XO Thames" w:hAnsi="XO Thames" w:cs="XO Thames"/>
      <w:sz w:val="28"/>
    </w:rPr>
  </w:style>
  <w:style w:type="character" w:styleId="ConsPlusDocList">
    <w:name w:val="ConsPlusDocList"/>
    <w:qFormat/>
    <w:rPr>
      <w:rFonts w:ascii="Courier New" w:hAnsi="Courier New" w:cs="Courier New"/>
      <w:b w:val="false"/>
      <w:i w:val="false"/>
      <w:strike w:val="false"/>
      <w:dstrike w:val="false"/>
      <w:sz w:val="16"/>
      <w:u w:val="none"/>
    </w:rPr>
  </w:style>
  <w:style w:type="character" w:styleId="Style20">
    <w:name w:val="Название Знак"/>
    <w:qFormat/>
    <w:rPr>
      <w:rFonts w:ascii="XO Thames" w:hAnsi="XO Thames" w:cs="XO Thames"/>
      <w:b/>
      <w:caps/>
      <w:sz w:val="40"/>
    </w:rPr>
  </w:style>
  <w:style w:type="character" w:styleId="41">
    <w:name w:val="Заголовок 4 Знак"/>
    <w:qFormat/>
    <w:rPr>
      <w:rFonts w:ascii="XO Thames" w:hAnsi="XO Thames" w:cs="XO Thames"/>
      <w:b/>
      <w:sz w:val="24"/>
    </w:rPr>
  </w:style>
  <w:style w:type="character" w:styleId="21">
    <w:name w:val="Заголовок 2 Знак"/>
    <w:qFormat/>
    <w:rPr>
      <w:rFonts w:ascii="XO Thames" w:hAnsi="XO Thames" w:cs="XO Thames"/>
      <w:b/>
      <w:sz w:val="28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2">
    <w:name w:val="Body Text"/>
    <w:basedOn w:val="Normal"/>
    <w:pPr>
      <w:spacing w:lineRule="auto" w:line="276" w:before="0" w:after="140"/>
    </w:pPr>
    <w:rPr/>
  </w:style>
  <w:style w:type="paragraph" w:styleId="Style23">
    <w:name w:val="List"/>
    <w:basedOn w:val="Style22"/>
    <w:pPr/>
    <w:rPr>
      <w:rFonts w:cs="Ari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PlainText">
    <w:name w:val="Plain Text"/>
    <w:basedOn w:val="Normal"/>
    <w:link w:val="Style14"/>
    <w:uiPriority w:val="99"/>
    <w:unhideWhenUsed/>
    <w:qFormat/>
    <w:rsid w:val="00707be3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ConsPlusNormal1" w:customStyle="1">
    <w:name w:val="ConsPlusNormal"/>
    <w:qFormat/>
    <w:rsid w:val="00707be3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Title1" w:customStyle="1">
    <w:name w:val="ConsPlusTitle"/>
    <w:qFormat/>
    <w:rsid w:val="0079501e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val="ru-RU" w:eastAsia="ru-RU" w:bidi="ar-SA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b6072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86c15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Style26">
    <w:name w:val="Колонтитул"/>
    <w:basedOn w:val="Normal"/>
    <w:qFormat/>
    <w:pPr/>
    <w:rPr/>
  </w:style>
  <w:style w:type="paragraph" w:styleId="Style27">
    <w:name w:val="Header"/>
    <w:basedOn w:val="Normal"/>
    <w:link w:val="Style16"/>
    <w:uiPriority w:val="99"/>
    <w:unhideWhenUsed/>
    <w:rsid w:val="007b535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8">
    <w:name w:val="Footer"/>
    <w:basedOn w:val="Normal"/>
    <w:link w:val="Style17"/>
    <w:uiPriority w:val="99"/>
    <w:unhideWhenUsed/>
    <w:rsid w:val="007b535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68362e"/>
    <w:pPr>
      <w:spacing w:before="0" w:after="200"/>
      <w:ind w:left="720" w:hanging="0"/>
      <w:contextualSpacing/>
    </w:pPr>
    <w:rPr/>
  </w:style>
  <w:style w:type="paragraph" w:styleId="Formattexttopleveltext">
    <w:name w:val="formattext topleveltext"/>
    <w:basedOn w:val="Normal"/>
    <w:qFormat/>
    <w:pPr>
      <w:spacing w:lineRule="exact" w:line="240" w:before="280" w:after="280"/>
    </w:pPr>
    <w:rPr>
      <w:rFonts w:ascii="Times New Roman" w:hAnsi="Times New Roman" w:cs="Times New Roman"/>
    </w:rPr>
  </w:style>
  <w:style w:type="paragraph" w:styleId="Western">
    <w:name w:val="western"/>
    <w:basedOn w:val="Normal"/>
    <w:qFormat/>
    <w:pPr>
      <w:suppressAutoHyphens w:val="false"/>
      <w:spacing w:before="280" w:after="142"/>
    </w:pPr>
    <w:rPr>
      <w:color w:val="000000"/>
    </w:rPr>
  </w:style>
  <w:style w:type="paragraph" w:styleId="13">
    <w:name w:val="Основной шрифт абзаца1"/>
    <w:qFormat/>
    <w:pPr>
      <w:widowControl/>
      <w:suppressAutoHyphens w:val="true"/>
      <w:bidi w:val="0"/>
      <w:spacing w:lineRule="auto" w:line="276" w:before="0" w:after="0"/>
      <w:jc w:val="left"/>
    </w:pPr>
    <w:rPr>
      <w:rFonts w:ascii="Calibri" w:hAnsi="Calibri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ConsPlusNonformat1">
    <w:name w:val="ConsPlusNonformat"/>
    <w:qFormat/>
    <w:pPr>
      <w:widowControl w:val="false"/>
      <w:suppressAutoHyphens w:val="true"/>
      <w:bidi w:val="0"/>
      <w:spacing w:lineRule="auto" w:line="276" w:before="0" w:after="0"/>
      <w:jc w:val="left"/>
    </w:pPr>
    <w:rPr>
      <w:rFonts w:ascii="Courier New" w:hAnsi="Courier New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ConsPlusTextList1">
    <w:name w:val="ConsPlusTextList"/>
    <w:qFormat/>
    <w:pPr>
      <w:widowControl w:val="false"/>
      <w:suppressAutoHyphens w:val="true"/>
      <w:bidi w:val="0"/>
      <w:spacing w:lineRule="auto" w:line="276" w:before="0" w:after="0"/>
      <w:jc w:val="left"/>
    </w:pPr>
    <w:rPr>
      <w:rFonts w:ascii="Arial" w:hAnsi="Arial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ConsPlusCell1">
    <w:name w:val="ConsPlusCell"/>
    <w:qFormat/>
    <w:pPr>
      <w:widowControl w:val="false"/>
      <w:suppressAutoHyphens w:val="true"/>
      <w:bidi w:val="0"/>
      <w:spacing w:lineRule="auto" w:line="276" w:before="0" w:after="0"/>
      <w:jc w:val="left"/>
    </w:pPr>
    <w:rPr>
      <w:rFonts w:ascii="Courier New" w:hAnsi="Courier New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ConsPlusTextList01">
    <w:name w:val="ConsPlusTextList_0"/>
    <w:qFormat/>
    <w:pPr>
      <w:widowControl w:val="false"/>
      <w:suppressAutoHyphens w:val="true"/>
      <w:bidi w:val="0"/>
      <w:spacing w:lineRule="auto" w:line="276" w:before="0" w:after="0"/>
      <w:jc w:val="left"/>
    </w:pPr>
    <w:rPr>
      <w:rFonts w:ascii="Arial" w:hAnsi="Arial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14">
    <w:name w:val="Гиперссылка1"/>
    <w:qFormat/>
    <w:pPr>
      <w:widowControl/>
      <w:suppressAutoHyphens w:val="true"/>
      <w:bidi w:val="0"/>
      <w:spacing w:lineRule="auto" w:line="276" w:before="0" w:after="0"/>
      <w:jc w:val="left"/>
    </w:pPr>
    <w:rPr>
      <w:rFonts w:ascii="Calibri" w:hAnsi="Calibri" w:eastAsia="Times New Roman" w:cs="Times New Roman"/>
      <w:color w:val="0000FF"/>
      <w:kern w:val="0"/>
      <w:sz w:val="20"/>
      <w:szCs w:val="20"/>
      <w:u w:val="single"/>
      <w:lang w:val="ru-RU" w:eastAsia="ru-RU" w:bidi="ar-SA"/>
    </w:rPr>
  </w:style>
  <w:style w:type="paragraph" w:styleId="Footnote1">
    <w:name w:val="Footnote"/>
    <w:qFormat/>
    <w:pPr>
      <w:widowControl/>
      <w:suppressAutoHyphens w:val="true"/>
      <w:bidi w:val="0"/>
      <w:spacing w:lineRule="auto" w:line="276" w:before="0" w:after="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ConsPlusTitlePage1">
    <w:name w:val="ConsPlusTitlePage"/>
    <w:qFormat/>
    <w:pPr>
      <w:widowControl w:val="false"/>
      <w:suppressAutoHyphens w:val="true"/>
      <w:bidi w:val="0"/>
      <w:spacing w:lineRule="auto" w:line="276" w:before="0" w:after="0"/>
      <w:jc w:val="left"/>
    </w:pPr>
    <w:rPr>
      <w:rFonts w:ascii="Tahoma" w:hAnsi="Tahoma" w:eastAsia="Times New Roman" w:cs="Times New Roman"/>
      <w:color w:val="000000"/>
      <w:kern w:val="0"/>
      <w:sz w:val="16"/>
      <w:szCs w:val="20"/>
      <w:lang w:val="ru-RU" w:eastAsia="ru-RU" w:bidi="ar-SA"/>
    </w:rPr>
  </w:style>
  <w:style w:type="paragraph" w:styleId="ConsPlusJurTerm1">
    <w:name w:val="ConsPlusJurTerm"/>
    <w:qFormat/>
    <w:pPr>
      <w:widowControl w:val="false"/>
      <w:suppressAutoHyphens w:val="true"/>
      <w:bidi w:val="0"/>
      <w:spacing w:lineRule="auto" w:line="276" w:before="0" w:after="0"/>
      <w:jc w:val="left"/>
    </w:pPr>
    <w:rPr>
      <w:rFonts w:ascii="Tahoma" w:hAnsi="Tahoma" w:eastAsia="Times New Roman" w:cs="Times New Roman"/>
      <w:color w:val="000000"/>
      <w:kern w:val="0"/>
      <w:sz w:val="26"/>
      <w:szCs w:val="20"/>
      <w:lang w:val="ru-RU" w:eastAsia="ru-RU" w:bidi="ar-SA"/>
    </w:rPr>
  </w:style>
  <w:style w:type="paragraph" w:styleId="Toc101">
    <w:name w:val="toc 10"/>
    <w:next w:val="Normal"/>
    <w:qFormat/>
    <w:pPr>
      <w:widowControl/>
      <w:suppressAutoHyphens w:val="true"/>
      <w:bidi w:val="0"/>
      <w:spacing w:lineRule="auto" w:line="276" w:before="0" w:after="0"/>
      <w:ind w:left="18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ConsPlusDocList1">
    <w:name w:val="ConsPlusDocList"/>
    <w:qFormat/>
    <w:pPr>
      <w:widowControl w:val="false"/>
      <w:suppressAutoHyphens w:val="true"/>
      <w:bidi w:val="0"/>
      <w:spacing w:lineRule="auto" w:line="276" w:before="0" w:after="0"/>
      <w:jc w:val="left"/>
    </w:pPr>
    <w:rPr>
      <w:rFonts w:ascii="Courier New" w:hAnsi="Courier New" w:eastAsia="Times New Roman" w:cs="Times New Roman"/>
      <w:color w:val="000000"/>
      <w:kern w:val="0"/>
      <w:sz w:val="16"/>
      <w:szCs w:val="20"/>
      <w:lang w:val="ru-RU" w:eastAsia="ru-RU" w:bidi="ar-SA"/>
    </w:rPr>
  </w:style>
  <w:style w:type="paragraph" w:styleId="ConsTitle">
    <w:name w:val="ConsTitle"/>
    <w:qFormat/>
    <w:pPr>
      <w:widowControl w:val="false"/>
      <w:suppressAutoHyphens w:val="true"/>
      <w:bidi w:val="0"/>
      <w:spacing w:lineRule="auto" w:line="276" w:before="0" w:after="0"/>
      <w:ind w:right="19772" w:hanging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8E53CE6242F1E492693534A8FBFF1A0A9E6F09962DD6D680BD1EF84CC0866538345455C753096CBF43FC1390A4TFz9M" TargetMode="External"/><Relationship Id="rId4" Type="http://schemas.openxmlformats.org/officeDocument/2006/relationships/hyperlink" Target="consultantplus://offline/ref=BE6722DB4D6CFD120D8B55C252680A10A2FC468E6A74CE31BC1452E28F6759015FBAA54FD7FB842E578568DC4E7F9F5A7B3Dw4I" TargetMode="Externa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0729C-9AED-41C1-AC37-8279F18CA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2684</TotalTime>
  <Application>LibreOffice/7.4.0.3$Windows_X86_64 LibreOffice_project/f85e47c08ddd19c015c0114a68350214f7066f5a</Application>
  <AppVersion>15.0000</AppVersion>
  <Pages>2</Pages>
  <Words>275</Words>
  <Characters>1529</Characters>
  <CharactersWithSpaces>2078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cp:lastPrinted>2024-08-23T15:17:22Z</cp:lastPrinted>
  <dcterms:modified xsi:type="dcterms:W3CDTF">2024-08-26T07:34:16Z</dcterms:modified>
  <cp:revision>402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